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B0891F1" Type="http://schemas.openxmlformats.org/officeDocument/2006/relationships/officeDocument" Target="word/document.xml"/><Relationship Id="rId1" Type="http://schemas.openxmlformats.org/officeDocument/2006/relationships/custom-properties" Target="docProps/custom.xml"/><Relationship Id="R5B68490D"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1440" w:right="10480" w:firstLine="0"/>
        <w:jc w:val="left"/>
      </w:pPr>
      <w:r>
        <w:drawing>
          <wp:anchor allowOverlap="0" relativeHeight="0" locked="0" simplePos="0" layoutInCell="1" behindDoc="0">
            <wp:simplePos y="0" x="0"/>
            <wp:positionH relativeFrom="page">
              <wp:posOffset>0</wp:posOffset>
            </wp:positionH>
            <wp:positionV relativeFrom="page">
              <wp:posOffset>25400</wp:posOffset>
            </wp:positionV>
            <wp:extent cx="7568185" cy="10646665"/>
            <wp:effectExtent l="0" t="0" r="0" b="0"/>
            <wp:wrapTopAndBottom/>
            <wp:docPr id="59982" name="Picture 59982"/>
            <wp:cNvGraphicFramePr/>
            <a:graphic>
              <a:graphicData uri="http://schemas.openxmlformats.org/drawingml/2006/picture">
                <pic:pic xmlns:pic="http://schemas.openxmlformats.org/drawingml/2006/picture">
                  <pic:nvPicPr>
                    <pic:cNvPr id="59982" name="Picture 59982"/>
                    <pic:cNvPicPr/>
                  </pic:nvPicPr>
                  <pic:blipFill>
                    <a:blip r:embed="rId21"/>
                    <a:stretch>
                      <a:fillRect/>
                    </a:stretch>
                  </pic:blipFill>
                  <pic:spPr>
                    <a:xfrm>
                      <a:off x="0" y="0"/>
                      <a:ext cx="7568185" cy="10646665"/>
                    </a:xfrm>
                    <a:prstGeom prst="rect">
                      <a:avLst/>
                    </a:prstGeom>
                  </pic:spPr>
                </pic:pic>
              </a:graphicData>
            </a:graphic>
          </wp:anchor>
        </w:drawing>
      </w:r>
    </w:p>
    <w:p>
      <w:pPr>
        <w:sectPr>
          <w:footerReference w:type="even" r:id="rId3"/>
          <w:footerReference w:type="default" r:id="rId2"/>
          <w:footerReference w:type="first" r:id="rId1"/>
          <w:pgSz w:w="11920" w:h="16840" w:orient="portrait"/>
          <w:pgMar w:left="1440" w:top="1440" w:right="1440" w:bottom="1440"/>
          <w:cols/>
        </w:sectPr>
      </w:pPr>
    </w:p>
    <w:p>
      <w:pPr>
        <w:spacing w:before="0" w:after="67" w:line="259" w:lineRule="auto"/>
        <w:ind w:left="150" w:right="0" w:firstLine="0"/>
        <w:jc w:val="left"/>
      </w:pPr>
      <w:r>
        <w:rPr>
          <w:rFonts w:cs="Calibri" w:hAnsi="Calibri" w:eastAsia="Calibri" w:ascii="Calibri"/>
          <w:sz w:val="22"/>
        </w:rPr>
        <w:drawing>
          <wp:inline distT="0" distB="0" distL="0" distR="0">
            <wp:extent cx="6136386" cy="6096"/>
            <wp:docPr id="43411" name="Group 43411"/>
            <wp:cNvGraphicFramePr/>
            <a:graphic>
              <a:graphicData uri="http://schemas.microsoft.com/office/word/2010/wordprocessingGroup">
                <wpg:wgp>
                  <wpg:cNvGrpSpPr/>
                  <wpg:grpSpPr>
                    <a:xfrm>
                      <a:off x="0" y="0"/>
                      <a:ext cx="6136386" cy="6096"/>
                      <a:chOff x="0" y="0"/>
                      <a:chExt cx="6136386" cy="6096"/>
                    </a:xfrm>
                  </wpg:grpSpPr>
                  <wps:wsp>
                    <wps:cNvPr id="62662" name="Shape 62662"/>
                    <wps:cNvSpPr/>
                    <wps:spPr>
                      <a:xfrm>
                        <a:off x="0" y="0"/>
                        <a:ext cx="6136386" cy="9144"/>
                      </a:xfrm>
                      <a:custGeom>
                        <a:pathLst>
                          <a:path w="6136386" h="9144">
                            <a:moveTo>
                              <a:pt x="0" y="0"/>
                            </a:moveTo>
                            <a:lnTo>
                              <a:pt x="6136386" y="0"/>
                            </a:lnTo>
                            <a:lnTo>
                              <a:pt x="613638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257"/>
          <w:tab w:val="center" w:pos="1994"/>
        </w:tabs>
        <w:spacing w:before="0" w:after="117" w:line="259" w:lineRule="auto"/>
        <w:ind w:left="0" w:firstLine="0"/>
      </w:pPr>
      <w:r>
        <w:rPr>
          <w:rFonts w:cs="Calibri" w:hAnsi="Calibri" w:eastAsia="Calibri" w:ascii="Calibri"/>
          <w:b w:val="0"/>
          <w:sz w:val="22"/>
        </w:rPr>
        <w:t xml:space="preserve">	</w:t>
      </w:r>
      <w:r>
        <w:rPr>
          <w:sz w:val="28"/>
        </w:rPr>
        <w:t xml:space="preserve">I.</w:t>
      </w:r>
      <w:r>
        <w:rPr>
          <w:rFonts w:cs="Arial" w:hAnsi="Arial" w:eastAsia="Arial" w:ascii="Arial"/>
          <w:sz w:val="28"/>
        </w:rPr>
        <w:t xml:space="preserve"> 	</w:t>
      </w:r>
      <w:r>
        <w:rPr>
          <w:sz w:val="28"/>
        </w:rPr>
        <w:t xml:space="preserve">S</w:t>
      </w:r>
      <w:r>
        <w:rPr/>
        <w:t xml:space="preserve">ITUATION </w:t>
      </w:r>
      <w:r>
        <w:rPr>
          <w:sz w:val="28"/>
        </w:rPr>
        <w:t xml:space="preserve">A</w:t>
      </w:r>
      <w:r>
        <w:rPr/>
        <w:t xml:space="preserve">NALYSIS</w:t>
      </w:r>
      <w:r>
        <w:rPr>
          <w:sz w:val="28"/>
        </w:rPr>
        <w:t xml:space="preserve"> </w:t>
      </w:r>
    </w:p>
    <w:p>
      <w:pPr>
        <w:pStyle w:val="heading2"/>
        <w:spacing w:before="0" w:after="3" w:line="253" w:lineRule="auto"/>
        <w:ind w:left="175"/>
      </w:pPr>
      <w:r>
        <w:rPr/>
        <w:t xml:space="preserve">1.1 Background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The Darfur conflict has been shaped by competition over access to natural resources and power sharing, as well as lack of development.  Following the 1984-85 drought, large numbers of pastoralists moved south in search of pasture and water in Fur’s area, where sedentary groups were developing static farming practices that restrict the movement of herds</w:t>
      </w:r>
      <w:r>
        <w:rPr>
          <w:sz w:val="18"/>
          <w:vertAlign w:val="superscript"/>
        </w:rPr>
        <w:footnoteReference w:id="19"/>
      </w:r>
      <w:r>
        <w:rPr/>
        <w:t xml:space="preserve">.  The evolution of the political scene in Khartoum, the regional impact of the Chadian-Libyan conflict, the influence of SPLA, and the use of proxy forces in Darfur further marginalized by the lack of public investment led to increased levels of violence.  The conflict in Darfur has resulted in large number of deaths, refugees and IDPs, widespread insecurity and acute poverty.  More than three years after the signing of the DPA (5 May 2006), the political and military scene in Darfur has been made even more complex by the multiplicity of armed groups with shifting allegiances, fractured along political, ethnic and regional lines, with ramifications in neighbouring countries. This increasingly complex situation has given rise to a range of challenges in terms of community security, protection of civilians, human rights, peaceful dispute resolution mechanisms, rule of law, access to justice, reconciliation and development issues.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The UN, AU and the international community intervened in the Darfur conflict and carried out preventive/deterrent measures such as deployment of Peacekeeping Forces, mediation of the Darfur Peace Agreement, and facilitation of the Darfur Dialogue among conflict parties. Despite the initial involvement, financial and political resources have not been secured for a full-fledged deployment in Darfur, where insecurity is widespread and violence ongoing. A number of political actors remain opposed to the peace agreement defined in the DPA, both within fragmented anti-governmental forces and GONU aligned militia.  These unstable factors need to be tackled by a combination of immediate political efforts and mediation, as well as recovery programmes paving the way to sustainable livelihood and reintegration of ex-combatants.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To that end, re-activating the peace process is crucial and is the only way to initiate disarmament, demobilisation and reintegration of armed individuals and groups, by offering them peace alternatives to make a living and contribute to the development of their community.  </w:t>
      </w:r>
    </w:p>
    <w:p>
      <w:pPr>
        <w:spacing w:before="0" w:after="40" w:line="259" w:lineRule="auto"/>
        <w:ind w:left="180" w:right="0" w:firstLine="0"/>
        <w:jc w:val="left"/>
      </w:pPr>
      <w:r>
        <w:rPr/>
        <w:t xml:space="preserve"> </w:t>
      </w:r>
    </w:p>
    <w:p>
      <w:pPr>
        <w:pStyle w:val="normal"/>
        <w:spacing w:before="0" w:after="52" w:line="249" w:lineRule="auto"/>
        <w:ind w:left="175" w:right="42"/>
      </w:pPr>
      <w:r>
        <w:rPr/>
        <w:t xml:space="preserve">Critical conditions to envisage initiating DDR programming in Darfur will be 1) the cessation of hostilities, 2) a genuine commitment to peace by all parties, including multiple armed groups that remain opposed to the provisions made in the DPA, and 3) the compliance of parties to disarmament and forces withdrawal provisions made in the DPA.  The main challenge to any DDR initiative in Darfur will be to undertake a constructive joint negotiation on terms and conditions for the parties to disarm and demobilise their combatants, as well as the agreement on eligibility criteria for the individuals to enter the programme.  Should the first two conditions be met and parties engage in the negotiation described above, then a DDR programme can have a meaningful stabilizing impact in Darfur and pave the ground for future recovery and development activities.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These difficult conditions surrounding Darfur DDR might lead to ask why DDR preparation should be started in Darfur now. One of the most significant lessons learned from the implementation of the Interim DDR Programme and DDR in Eastern Sudan is that the DDR lead time needs to be sufficiently long regardless of such concerns. Therefore, the </w:t>
      </w:r>
      <w:r>
        <w:rPr>
          <w:shd w:val="clear" w:color="auto" w:fill="e0e0e0"/>
        </w:rPr>
        <w:t xml:space="preserve">Preparatory Support Project for DDR in Darfur</w:t>
      </w:r>
      <w:r>
        <w:rPr/>
        <w:t xml:space="preserve"> aims at laying the foundation of preparatory aspects of DDR; actual DDR operations will not start in this project. Nevertheless, political developments are unpredictable: the situation in Darfur might drag on, but it could drastically turn around as well. Recent talks in Doha, Qatar, resulted in the signing of a joint declaration of good intentions between the Government of Sudan and the Justice and Equality Movement (JEM) on 16 February 2009. The agreement could pave the way for proper peace negotiations with JEM, who had boycotted the Darfur Peace Agreement in 2006. </w:t>
      </w:r>
    </w:p>
    <w:p>
      <w:pPr>
        <w:spacing w:before="0" w:after="42" w:line="259" w:lineRule="auto"/>
        <w:ind w:left="180" w:right="0" w:firstLine="0"/>
        <w:jc w:val="left"/>
      </w:pPr>
      <w:r>
        <w:rPr/>
        <w:t xml:space="preserve">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This project will not and cannot change the overall security situation in Darfur, but is designed to give a positive sense towards peace and to set a significant momentum for a full-scale Darfur DDR programme, as well as peacekeeping efforts and the political environment surrounding the DPA. </w:t>
      </w:r>
    </w:p>
    <w:p>
      <w:pPr>
        <w:spacing w:before="0" w:after="0" w:line="259" w:lineRule="auto"/>
        <w:ind w:left="180" w:right="0" w:firstLine="0"/>
        <w:jc w:val="left"/>
      </w:pPr>
      <w:r>
        <w:rPr/>
        <w:t xml:space="preserve"> </w:t>
      </w:r>
    </w:p>
    <w:p>
      <w:pPr>
        <w:pStyle w:val="heading2"/>
        <w:spacing w:before="0" w:after="3" w:line="253" w:lineRule="auto"/>
        <w:ind w:left="175"/>
      </w:pPr>
      <w:r>
        <w:rPr/>
        <w:t xml:space="preserve">1.2 DPA Commitments on DDR </w:t>
      </w:r>
    </w:p>
    <w:p>
      <w:pPr>
        <w:spacing w:before="0" w:after="40" w:line="259" w:lineRule="auto"/>
        <w:ind w:left="180" w:right="0" w:firstLine="0"/>
        <w:jc w:val="left"/>
      </w:pPr>
      <w:r>
        <w:rPr/>
        <w:t xml:space="preserve"> </w:t>
      </w:r>
    </w:p>
    <w:p>
      <w:pPr>
        <w:pStyle w:val="normal"/>
        <w:spacing w:before="0" w:after="52" w:line="249" w:lineRule="auto"/>
        <w:ind w:left="175" w:right="42"/>
      </w:pPr>
      <w:r>
        <w:rPr/>
        <w:t xml:space="preserve">The Darfur Peace Agreement clearly indicates that Disarmament, Demobilisation and Reintegration will start after the completion of a comprehensive ceasefire and a set of security arrangements, including the disarmament of Janjaweed/armed militias (art. 417). Specific principles for Disarmament and Demobilisation are outlined in article 426 of the DPA, as DDR awareness raising with commanders and forces, establishment of eligibility criteria, weapons collection and destruction, pre-registration, and immediate demobilisation and reinsertion of disabled combatants. General principles on social and economic reintegration are outlined in sections 431 to 445, in line with the Integrated DDR Standards. The DPA also plans for Security Sector Reform (art. 446 onwards), restructuring of Selected Security Institutions (SSI) and inclusion of former combatants into the said SSI (art. 399 to 416), including the Sudan Armed Forces (SAF), the Sudan National Police, the Border Guards and the Popular Defence Forces (PDF).  </w:t>
      </w:r>
    </w:p>
    <w:p>
      <w:pPr>
        <w:spacing w:before="0" w:after="43" w:line="259" w:lineRule="auto"/>
        <w:ind w:left="0" w:right="0" w:firstLine="0"/>
        <w:jc w:val="right"/>
      </w:pPr>
      <w:r>
        <w:rPr/>
        <w:t xml:space="preserve"> </w:t>
      </w:r>
    </w:p>
    <w:p>
      <w:pPr>
        <w:pStyle w:val="heading2"/>
        <w:spacing w:before="0" w:after="3" w:line="253" w:lineRule="auto"/>
        <w:ind w:left="175"/>
      </w:pPr>
      <w:r>
        <w:rPr/>
        <w:t xml:space="preserve">1.3 Small Arms and Light Weapons in Darfur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All armed actors in the Darfur conflict – SAF, PDF, GoS aligned militia and opposition armed groups – are using and have access to small arms and light weapons (SALW)</w:t>
      </w:r>
      <w:r>
        <w:rPr>
          <w:vertAlign w:val="superscript"/>
        </w:rPr>
        <w:footnoteReference w:id="20"/>
      </w:r>
      <w:r>
        <w:rPr/>
        <w:t xml:space="preserve">. SALW cause insecurity and human suffering and hamper sustainable development. Removing these weapons and addressing the causes of proliferation are a crucial part of promoting peace and creating safer societies. The DPA makes a specific provision for the cantonment of “crew-assisted weapons” (art. 370) and related ammunition.   </w:t>
      </w:r>
    </w:p>
    <w:p>
      <w:pPr>
        <w:spacing w:before="0" w:after="40" w:line="259" w:lineRule="auto"/>
        <w:ind w:left="180" w:right="0" w:firstLine="0"/>
        <w:jc w:val="left"/>
      </w:pPr>
      <w:r>
        <w:rPr>
          <w:rFonts w:cs="Arial" w:hAnsi="Arial" w:eastAsia="Arial" w:ascii="Arial"/>
          <w:b w:val="1"/>
        </w:rPr>
        <w:t xml:space="preserve"> </w:t>
      </w:r>
    </w:p>
    <w:p>
      <w:pPr>
        <w:pStyle w:val="normal"/>
        <w:spacing w:before="0" w:after="52" w:line="249" w:lineRule="auto"/>
        <w:ind w:left="175" w:right="42"/>
      </w:pPr>
      <w:r>
        <w:rPr/>
        <w:t xml:space="preserve">The people of Darfur have been seriously affected by the use of SALW during past and ongoing conflicts.  While few studies have been carried out in Darfur, in similar conflict contexts the majority of SALW victims and carriers are unemployed, uneducated young men.  The use of SALW is widespread in various forms of human rights violations, including rape, torture, abduction, coerced recruitment, kidnapping, theft, looting, forced displacement, forced marriage and extortion.  Such levels of violence have negatively impacted development indicators such as access to infrastructure, employment, healthcare, education, social welfare. </w:t>
      </w:r>
    </w:p>
    <w:p>
      <w:pPr>
        <w:spacing w:before="0" w:after="51" w:line="259" w:lineRule="auto"/>
        <w:ind w:left="180" w:right="0" w:firstLine="0"/>
        <w:jc w:val="left"/>
      </w:pPr>
      <w:r>
        <w:rPr/>
        <w:t xml:space="preserve"> </w:t>
      </w:r>
    </w:p>
    <w:p>
      <w:pPr>
        <w:pStyle w:val="normal"/>
        <w:spacing w:before="0" w:after="52" w:line="249" w:lineRule="auto"/>
        <w:ind w:left="175" w:right="42"/>
      </w:pPr>
      <w:r>
        <w:rPr/>
        <w:t xml:space="preserve">Given the combination of extreme poverty, overwhelming social wounds, emerging, untested government structures and fragile security situation it is not difficult to understand how and why violence using SALW is likely to continue.  For DDR to succeed in Darfur, integrated community security programmes are required, combining conflict prevention, mitigation and management, community policing and small arms control, as well as broader economic recovery and employment support programmes targeting disenfranchised youth. </w:t>
      </w:r>
    </w:p>
    <w:p>
      <w:pPr>
        <w:spacing w:before="0" w:after="51" w:line="259" w:lineRule="auto"/>
        <w:ind w:left="180" w:right="0" w:firstLine="0"/>
        <w:jc w:val="left"/>
      </w:pPr>
      <w:r>
        <w:rPr/>
        <w:t xml:space="preserve"> </w:t>
      </w:r>
    </w:p>
    <w:p>
      <w:pPr>
        <w:pStyle w:val="normal"/>
        <w:spacing w:before="0" w:after="52" w:line="249" w:lineRule="auto"/>
        <w:ind w:left="175" w:right="42"/>
      </w:pPr>
      <w:r>
        <w:rPr/>
        <w:t xml:space="preserve">Security at the national/state level is critical in post conflict contexts and therefore engagement with governmental institutions is essential; however, local and community level security considerations should not be neglected. Community security is of equal importance both in itself and if larger peace building and security programmes are to have any impact and sustainability.  </w:t>
      </w:r>
    </w:p>
    <w:p>
      <w:pPr>
        <w:spacing w:before="0" w:after="43" w:line="259" w:lineRule="auto"/>
        <w:ind w:left="180" w:right="0" w:firstLine="0"/>
        <w:jc w:val="left"/>
      </w:pPr>
      <w:r>
        <w:rPr/>
        <w:t xml:space="preserve"> </w:t>
      </w:r>
    </w:p>
    <w:p>
      <w:pPr>
        <w:pStyle w:val="heading2"/>
        <w:spacing w:before="0" w:after="3" w:line="253" w:lineRule="auto"/>
        <w:ind w:left="175"/>
      </w:pPr>
      <w:r>
        <w:rPr/>
        <w:t xml:space="preserve">1.4 DDR National Institutions </w:t>
      </w:r>
    </w:p>
    <w:p>
      <w:pPr>
        <w:spacing w:before="0" w:after="40" w:line="259" w:lineRule="auto"/>
        <w:ind w:left="180" w:right="0" w:firstLine="0"/>
        <w:jc w:val="left"/>
      </w:pPr>
      <w:r>
        <w:rPr/>
        <w:t xml:space="preserve"> </w:t>
      </w:r>
    </w:p>
    <w:p>
      <w:pPr>
        <w:pStyle w:val="normal"/>
        <w:spacing w:before="0" w:after="52" w:line="249" w:lineRule="auto"/>
        <w:ind w:left="175" w:right="42"/>
      </w:pPr>
      <w:r>
        <w:rPr/>
        <w:t xml:space="preserve">The National DDR Coordination Council (NDDRCC) will assume the primary responsibility of policy formulation, oversight, coordination, and evaluation of the progress made by the North Sudan DDR Commission in developing its readiness to design, implement, and manage the DDR process in the Darfur states.  NSDDRC will take responsibility for planning and implementing the DDR project in accordance with the policies developed by NDDRCC.  One of the major roles of NSDDRC is to set up state offices and supervise the field activities conducted by them.  NDDRCC has nominated the North Sudan DDR Commissioner as its representative for DDR in Darfur in the Security Arrangement Group.   </w:t>
      </w:r>
    </w:p>
    <w:p>
      <w:pPr>
        <w:spacing w:before="0" w:after="43" w:line="259" w:lineRule="auto"/>
        <w:ind w:left="180" w:right="0" w:firstLine="0"/>
        <w:jc w:val="left"/>
      </w:pPr>
      <w:r>
        <w:rPr/>
        <w:t xml:space="preserve"> </w:t>
      </w:r>
    </w:p>
    <w:p>
      <w:pPr>
        <w:pStyle w:val="heading2"/>
        <w:spacing w:before="0" w:after="3" w:line="253" w:lineRule="auto"/>
        <w:ind w:left="175"/>
      </w:pPr>
      <w:r>
        <w:rPr/>
        <w:t xml:space="preserve">1.5 The Role of the United Nations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As part of its role in supporting the implementation of the DPA, the United Nations has been mandated by  UN Security Council Resolution 1769 (31 July 2007) stating that UNAMID “…having completed all remaining </w:t>
      </w:r>
      <w:r>
        <w:rPr/>
        <w:t xml:space="preserve">tasks necessary to permit it to implement all elements of its mandate, will assume authority from AMIS...” including to assist with development and implementation of a comprehensive and sustainable programme for disarmament, demobilisation and reintegration of former combatants and women and children associated with armed forces and groups, as called for in the Darfur Peace Agreement. </w:t>
      </w:r>
    </w:p>
    <w:p>
      <w:pPr>
        <w:spacing w:before="0" w:after="40" w:line="259" w:lineRule="auto"/>
        <w:ind w:left="180" w:right="0" w:firstLine="0"/>
        <w:jc w:val="left"/>
      </w:pPr>
      <w:r>
        <w:rPr/>
        <w:t xml:space="preserve"> </w:t>
      </w:r>
    </w:p>
    <w:p>
      <w:pPr>
        <w:pStyle w:val="normal"/>
        <w:spacing w:before="0" w:after="52" w:line="249" w:lineRule="auto"/>
        <w:ind w:left="175" w:right="42"/>
      </w:pPr>
      <w:r>
        <w:rPr/>
        <w:t xml:space="preserve">Until now, UNAMID and UNDP have served as the primary vehicle for UN agencies in providing support to national and international efforts and in defining the concept of operations for a unified UN approach on Darfur DDR.  </w:t>
      </w:r>
    </w:p>
    <w:p>
      <w:pPr>
        <w:spacing w:before="0" w:after="0" w:line="259" w:lineRule="auto"/>
        <w:ind w:left="180" w:right="0" w:firstLine="0"/>
        <w:jc w:val="left"/>
      </w:pPr>
      <w:r>
        <w:rPr/>
        <w:t xml:space="preserve"> </w:t>
      </w:r>
    </w:p>
    <w:p>
      <w:pPr>
        <w:pStyle w:val="heading2"/>
        <w:spacing w:before="0" w:after="0" w:line="259" w:lineRule="auto"/>
        <w:ind w:left="175"/>
      </w:pPr>
      <w:r>
        <w:rPr>
          <w:rFonts w:cs="Arial" w:hAnsi="Arial" w:eastAsia="Arial" w:ascii="Arial"/>
          <w:b w:val="0"/>
          <w:u w:val="single" w:color="000000"/>
        </w:rPr>
        <w:t xml:space="preserve">UNAMID Role</w:t>
      </w:r>
      <w:r>
        <w:rPr>
          <w:rFonts w:cs="Arial" w:hAnsi="Arial" w:eastAsia="Arial" w:ascii="Arial"/>
          <w:b w:val="0"/>
        </w:rPr>
        <w:t xml:space="preserve"> </w:t>
      </w:r>
    </w:p>
    <w:p>
      <w:pPr>
        <w:pStyle w:val="normal"/>
        <w:numPr>
          <w:ilvl w:val="0"/>
          <w:numId w:val="1"/>
        </w:numPr>
        <w:spacing w:before="0" w:after="5" w:line="249" w:lineRule="auto"/>
        <w:ind w:left="525" w:right="42" w:hanging="360"/>
      </w:pPr>
      <w:r>
        <w:rPr/>
        <w:t xml:space="preserve">UNAMID, on behalf of the UN, will be responsible for policy coordination. Joint Special Representative to provide overall political guidance to the Darfur DDR process. </w:t>
      </w:r>
    </w:p>
    <w:p>
      <w:pPr>
        <w:pStyle w:val="normal"/>
        <w:numPr>
          <w:ilvl w:val="0"/>
          <w:numId w:val="1"/>
        </w:numPr>
        <w:spacing w:before="0" w:after="6" w:line="249" w:lineRule="auto"/>
        <w:ind w:left="525" w:right="42" w:hanging="360"/>
      </w:pPr>
      <w:r>
        <w:rPr/>
        <w:t xml:space="preserve">UNAMID, jointly with NSDDRC, will be responsible for setting eligibility criteria for participating in the DDR programme. </w:t>
      </w:r>
    </w:p>
    <w:p>
      <w:pPr>
        <w:pStyle w:val="normal"/>
        <w:numPr>
          <w:ilvl w:val="0"/>
          <w:numId w:val="1"/>
        </w:numPr>
        <w:spacing w:before="0" w:after="0" w:line="249" w:lineRule="auto"/>
        <w:ind w:left="525" w:right="42" w:hanging="360"/>
      </w:pPr>
      <w:r>
        <w:rPr/>
        <w:t xml:space="preserve">Demobilisation aspects of the main phase Darfur DDR programme: UNAMID to take the lead in supporting NSDDRC on demobilisation aspects. </w:t>
      </w:r>
    </w:p>
    <w:p>
      <w:pPr>
        <w:spacing w:before="0" w:after="0" w:line="259" w:lineRule="auto"/>
        <w:ind w:left="180" w:right="0" w:firstLine="0"/>
        <w:jc w:val="left"/>
      </w:pPr>
      <w:r>
        <w:rPr/>
        <w:t xml:space="preserve"> </w:t>
      </w:r>
    </w:p>
    <w:p>
      <w:pPr>
        <w:pStyle w:val="heading2"/>
        <w:spacing w:before="0" w:after="0" w:line="259" w:lineRule="auto"/>
        <w:ind w:left="175"/>
      </w:pPr>
      <w:r>
        <w:rPr>
          <w:rFonts w:cs="Arial" w:hAnsi="Arial" w:eastAsia="Arial" w:ascii="Arial"/>
          <w:b w:val="0"/>
          <w:u w:val="single" w:color="000000"/>
        </w:rPr>
        <w:t xml:space="preserve">UNDP Role</w:t>
      </w:r>
      <w:r>
        <w:rPr>
          <w:rFonts w:cs="Arial" w:hAnsi="Arial" w:eastAsia="Arial" w:ascii="Arial"/>
          <w:b w:val="0"/>
        </w:rPr>
        <w:t xml:space="preserve"> </w:t>
      </w:r>
    </w:p>
    <w:p>
      <w:pPr>
        <w:pStyle w:val="normal"/>
        <w:numPr>
          <w:ilvl w:val="0"/>
          <w:numId w:val="2"/>
        </w:numPr>
        <w:spacing w:before="0" w:after="4" w:line="249" w:lineRule="auto"/>
        <w:ind w:left="525" w:right="42" w:hanging="360"/>
      </w:pPr>
      <w:r>
        <w:rPr/>
        <w:t xml:space="preserve">UNDP will focus on capacity development and advocacy and partnership building as outlined by the outputs under the </w:t>
      </w:r>
      <w:r>
        <w:rPr>
          <w:shd w:val="clear" w:color="auto" w:fill="e0e0e0"/>
        </w:rPr>
        <w:t xml:space="preserve">Preparatory Support Project for DDR in Darfur.</w:t>
      </w:r>
      <w:r>
        <w:rPr/>
        <w:t xml:space="preserve"> </w:t>
      </w:r>
    </w:p>
    <w:p>
      <w:pPr>
        <w:pStyle w:val="normal"/>
        <w:numPr>
          <w:ilvl w:val="0"/>
          <w:numId w:val="2"/>
        </w:numPr>
        <w:spacing w:before="0" w:after="0" w:line="249" w:lineRule="auto"/>
        <w:ind w:left="525" w:right="42" w:hanging="360"/>
      </w:pPr>
      <w:r>
        <w:rPr/>
        <w:t xml:space="preserve">Reintegration aspect of the main phase of Darfur DDR programme:  UNDP to take the lead in supporting NSDDRC on reintegration aspects, such as design of economic reintegration and psycho-social activities, including for Special Needs Groups (disabled, elderly combatants, WAAFG). </w:t>
      </w:r>
    </w:p>
    <w:p>
      <w:pPr>
        <w:spacing w:before="0" w:after="0" w:line="259" w:lineRule="auto"/>
        <w:ind w:left="180" w:right="0" w:firstLine="0"/>
        <w:jc w:val="left"/>
      </w:pPr>
      <w:r>
        <w:rPr/>
        <w:t xml:space="preserve"> </w:t>
      </w:r>
    </w:p>
    <w:p>
      <w:pPr>
        <w:pStyle w:val="heading2"/>
        <w:spacing w:before="0" w:after="0" w:line="259" w:lineRule="auto"/>
        <w:ind w:left="175"/>
      </w:pPr>
      <w:r>
        <w:rPr>
          <w:rFonts w:cs="Arial" w:hAnsi="Arial" w:eastAsia="Arial" w:ascii="Arial"/>
          <w:b w:val="0"/>
          <w:u w:val="single" w:color="000000"/>
        </w:rPr>
        <w:t xml:space="preserve">Joint Responsibility</w:t>
      </w:r>
      <w:r>
        <w:rPr>
          <w:rFonts w:cs="Arial" w:hAnsi="Arial" w:eastAsia="Arial" w:ascii="Arial"/>
          <w:b w:val="0"/>
        </w:rPr>
        <w:t xml:space="preserve"> </w:t>
      </w:r>
    </w:p>
    <w:p>
      <w:pPr>
        <w:pStyle w:val="normal"/>
        <w:numPr>
          <w:ilvl w:val="0"/>
          <w:numId w:val="3"/>
        </w:numPr>
        <w:spacing w:before="0" w:after="4" w:line="249" w:lineRule="auto"/>
        <w:ind w:left="525" w:right="42" w:hanging="360"/>
      </w:pPr>
      <w:r>
        <w:rPr/>
        <w:t xml:space="preserve">In close cooperation with NSDDRC, develop of a project document for the main phase Darfur DDR programme, strategy and work plan. </w:t>
      </w:r>
    </w:p>
    <w:p>
      <w:pPr>
        <w:pStyle w:val="normal"/>
        <w:numPr>
          <w:ilvl w:val="0"/>
          <w:numId w:val="3"/>
        </w:numPr>
        <w:spacing w:before="0" w:after="23" w:line="249" w:lineRule="auto"/>
        <w:ind w:left="525" w:right="42" w:hanging="360"/>
      </w:pPr>
      <w:r>
        <w:rPr/>
        <w:t xml:space="preserve">Establish coordination mechanisms such as a UN DDR Steering Committee for Darfur to be chaired by Joint Special Representative, following the model of the UN DDR Steering Committee for the CPA area.  </w:t>
      </w:r>
    </w:p>
    <w:p>
      <w:pPr>
        <w:pStyle w:val="normal"/>
        <w:numPr>
          <w:ilvl w:val="0"/>
          <w:numId w:val="3"/>
        </w:numPr>
        <w:spacing w:before="0" w:after="9" w:line="249" w:lineRule="auto"/>
        <w:ind w:left="525" w:right="42" w:hanging="360"/>
      </w:pPr>
      <w:r>
        <w:rPr/>
        <w:t xml:space="preserve">UNDP DDR Project Coordinator and staff to be co-located in UNAMID. </w:t>
      </w:r>
    </w:p>
    <w:p>
      <w:pPr>
        <w:pStyle w:val="normal"/>
        <w:numPr>
          <w:ilvl w:val="0"/>
          <w:numId w:val="3"/>
        </w:numPr>
        <w:spacing w:before="0" w:after="0" w:line="249" w:lineRule="auto"/>
        <w:ind w:left="525" w:right="42" w:hanging="360"/>
      </w:pPr>
      <w:r>
        <w:rPr/>
        <w:t xml:space="preserve">Prepare MoU between UNAMID and UNDP (and other UN agencies if any) in view of joint programming for implementation of the full-fledged DDR programme. </w:t>
      </w:r>
    </w:p>
    <w:p>
      <w:pPr>
        <w:spacing w:before="0" w:after="0" w:line="259" w:lineRule="auto"/>
        <w:ind w:left="180" w:right="0" w:firstLine="0"/>
        <w:jc w:val="left"/>
      </w:pPr>
      <w:r>
        <w:rPr/>
        <w:t xml:space="preserve"> </w:t>
      </w:r>
    </w:p>
    <w:p>
      <w:pPr>
        <w:spacing w:before="0" w:after="61" w:line="259" w:lineRule="auto"/>
        <w:ind w:left="150" w:right="0" w:firstLine="0"/>
        <w:jc w:val="left"/>
      </w:pPr>
      <w:r>
        <w:rPr>
          <w:rFonts w:cs="Calibri" w:hAnsi="Calibri" w:eastAsia="Calibri" w:ascii="Calibri"/>
          <w:sz w:val="22"/>
        </w:rPr>
        <w:drawing>
          <wp:inline distT="0" distB="0" distL="0" distR="0">
            <wp:extent cx="6136386" cy="6096"/>
            <wp:docPr id="47180" name="Group 47180"/>
            <wp:cNvGraphicFramePr/>
            <a:graphic>
              <a:graphicData uri="http://schemas.microsoft.com/office/word/2010/wordprocessingGroup">
                <wpg:wgp>
                  <wpg:cNvGrpSpPr/>
                  <wpg:grpSpPr>
                    <a:xfrm>
                      <a:off x="0" y="0"/>
                      <a:ext cx="6136386" cy="6096"/>
                      <a:chOff x="0" y="0"/>
                      <a:chExt cx="6136386" cy="6096"/>
                    </a:xfrm>
                  </wpg:grpSpPr>
                  <wps:wsp>
                    <wps:cNvPr id="62663" name="Shape 62663"/>
                    <wps:cNvSpPr/>
                    <wps:spPr>
                      <a:xfrm>
                        <a:off x="0" y="0"/>
                        <a:ext cx="6136386" cy="9144"/>
                      </a:xfrm>
                      <a:custGeom>
                        <a:pathLst>
                          <a:path w="6136386" h="9144">
                            <a:moveTo>
                              <a:pt x="0" y="0"/>
                            </a:moveTo>
                            <a:lnTo>
                              <a:pt x="6136386" y="0"/>
                            </a:lnTo>
                            <a:lnTo>
                              <a:pt x="613638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1421"/>
        </w:tabs>
        <w:spacing w:before="0" w:after="117" w:line="259" w:lineRule="auto"/>
        <w:ind w:left="0" w:firstLine="0"/>
      </w:pPr>
      <w:r>
        <w:rPr>
          <w:sz w:val="28"/>
        </w:rPr>
        <w:t xml:space="preserve">II.</w:t>
      </w:r>
      <w:r>
        <w:rPr>
          <w:rFonts w:cs="Arial" w:hAnsi="Arial" w:eastAsia="Arial" w:ascii="Arial"/>
          <w:sz w:val="28"/>
        </w:rPr>
        <w:t xml:space="preserve"> 	</w:t>
      </w:r>
      <w:r>
        <w:rPr>
          <w:sz w:val="28"/>
        </w:rPr>
        <w:t xml:space="preserve">S</w:t>
      </w:r>
      <w:r>
        <w:rPr/>
        <w:t xml:space="preserve">TRATEGY</w:t>
      </w:r>
      <w:r>
        <w:rPr>
          <w:sz w:val="28"/>
        </w:rPr>
        <w:t xml:space="preserve"> </w:t>
      </w:r>
    </w:p>
    <w:p>
      <w:pPr>
        <w:pStyle w:val="heading2"/>
        <w:spacing w:before="0" w:after="3" w:line="253" w:lineRule="auto"/>
        <w:ind w:left="175"/>
      </w:pPr>
      <w:r>
        <w:rPr/>
        <w:t xml:space="preserve">2.1 Guiding Principles </w:t>
      </w:r>
    </w:p>
    <w:p>
      <w:pPr>
        <w:spacing w:before="0" w:after="40" w:line="259" w:lineRule="auto"/>
        <w:ind w:left="180" w:right="0" w:firstLine="0"/>
        <w:jc w:val="left"/>
      </w:pPr>
      <w:r>
        <w:rPr/>
        <w:t xml:space="preserve"> </w:t>
      </w:r>
    </w:p>
    <w:p>
      <w:pPr>
        <w:pStyle w:val="normal"/>
        <w:spacing w:before="0" w:after="0" w:line="249" w:lineRule="auto"/>
        <w:ind w:left="175" w:right="42"/>
      </w:pPr>
      <w:r>
        <w:rPr/>
        <w:t xml:space="preserve">This project for DDR in Darfur will adhere to the principles elaborated in the Interim DDR Programme for the CPA area, briefly outlined below:  </w:t>
      </w:r>
    </w:p>
    <w:p>
      <w:pPr>
        <w:spacing w:before="0" w:after="11" w:line="259" w:lineRule="auto"/>
        <w:ind w:left="180" w:right="0" w:firstLine="0"/>
        <w:jc w:val="left"/>
      </w:pPr>
      <w:r>
        <w:rPr/>
        <w:t xml:space="preserve"> </w:t>
      </w:r>
    </w:p>
    <w:p>
      <w:pPr>
        <w:pStyle w:val="normal"/>
        <w:numPr>
          <w:ilvl w:val="0"/>
          <w:numId w:val="4"/>
        </w:numPr>
        <w:spacing w:before="0" w:after="52" w:line="249" w:lineRule="auto"/>
        <w:ind w:left="525" w:right="42" w:hanging="360"/>
      </w:pPr>
      <w:r>
        <w:rPr/>
        <w:t xml:space="preserve">Broadly based national ownership should be ensured; </w:t>
      </w:r>
    </w:p>
    <w:p>
      <w:pPr>
        <w:pStyle w:val="normal"/>
        <w:numPr>
          <w:ilvl w:val="0"/>
          <w:numId w:val="4"/>
        </w:numPr>
        <w:spacing w:before="0" w:after="52" w:line="249" w:lineRule="auto"/>
        <w:ind w:left="525" w:right="42" w:hanging="360"/>
      </w:pPr>
      <w:r>
        <w:rPr/>
        <w:t xml:space="preserve">Developing national capacity should be prioritised; </w:t>
      </w:r>
    </w:p>
    <w:p>
      <w:pPr>
        <w:pStyle w:val="normal"/>
        <w:numPr>
          <w:ilvl w:val="0"/>
          <w:numId w:val="4"/>
        </w:numPr>
        <w:spacing w:before="0" w:after="52" w:line="249" w:lineRule="auto"/>
        <w:ind w:left="525" w:right="42" w:hanging="360"/>
      </w:pPr>
      <w:r>
        <w:rPr/>
        <w:t xml:space="preserve">The project should balance equity and human security; </w:t>
      </w:r>
    </w:p>
    <w:p>
      <w:pPr>
        <w:pStyle w:val="normal"/>
        <w:numPr>
          <w:ilvl w:val="0"/>
          <w:numId w:val="4"/>
        </w:numPr>
        <w:spacing w:before="0" w:after="52" w:line="249" w:lineRule="auto"/>
        <w:ind w:left="525" w:right="42" w:hanging="360"/>
      </w:pPr>
      <w:r>
        <w:rPr/>
        <w:t xml:space="preserve">The project should be responsive to disparate and changing conditions;  </w:t>
      </w:r>
    </w:p>
    <w:p>
      <w:pPr>
        <w:pStyle w:val="normal"/>
        <w:numPr>
          <w:ilvl w:val="0"/>
          <w:numId w:val="4"/>
        </w:numPr>
        <w:spacing w:before="0" w:after="52" w:line="249" w:lineRule="auto"/>
        <w:ind w:left="525" w:right="42" w:hanging="360"/>
      </w:pPr>
      <w:r>
        <w:rPr/>
        <w:t xml:space="preserve">The project should be conflict sensitive; </w:t>
      </w:r>
    </w:p>
    <w:p>
      <w:pPr>
        <w:pStyle w:val="normal"/>
        <w:numPr>
          <w:ilvl w:val="0"/>
          <w:numId w:val="4"/>
        </w:numPr>
        <w:spacing w:before="0" w:after="31" w:line="249" w:lineRule="auto"/>
        <w:ind w:left="525" w:right="42" w:hanging="360"/>
      </w:pPr>
      <w:r>
        <w:rPr/>
        <w:t xml:space="preserve">Expectations should be managed; </w:t>
      </w:r>
    </w:p>
    <w:p>
      <w:pPr>
        <w:pStyle w:val="normal"/>
        <w:numPr>
          <w:ilvl w:val="0"/>
          <w:numId w:val="4"/>
        </w:numPr>
        <w:spacing w:before="0" w:after="81" w:line="249" w:lineRule="auto"/>
        <w:ind w:left="525" w:right="42" w:hanging="360"/>
      </w:pPr>
      <w:r>
        <w:rPr/>
        <w:t xml:space="preserve">The project should spread a message that DDR will transform the region’s military-prone culture to demilitarization by embracing livelihoods that are not gained by the gun; </w:t>
      </w:r>
    </w:p>
    <w:p>
      <w:pPr>
        <w:pStyle w:val="normal"/>
        <w:numPr>
          <w:ilvl w:val="0"/>
          <w:numId w:val="4"/>
        </w:numPr>
        <w:spacing w:before="0" w:after="29" w:line="249" w:lineRule="auto"/>
        <w:ind w:left="525" w:right="42" w:hanging="360"/>
      </w:pPr>
      <w:r>
        <w:rPr/>
        <w:t xml:space="preserve">The project should nurture an enabling policy and security environment; </w:t>
      </w:r>
    </w:p>
    <w:p>
      <w:pPr>
        <w:pStyle w:val="normal"/>
        <w:numPr>
          <w:ilvl w:val="0"/>
          <w:numId w:val="4"/>
        </w:numPr>
        <w:spacing w:before="0" w:after="81" w:line="249" w:lineRule="auto"/>
        <w:ind w:left="525" w:right="42" w:hanging="360"/>
      </w:pPr>
      <w:r>
        <w:rPr/>
        <w:t xml:space="preserve">The project should be thought of as foundational activities in line with the efforts to scale-up Early Recovery programming in Darfur. </w:t>
      </w:r>
    </w:p>
    <w:p>
      <w:pPr>
        <w:pStyle w:val="normal"/>
        <w:numPr>
          <w:ilvl w:val="0"/>
          <w:numId w:val="4"/>
        </w:numPr>
        <w:spacing w:before="0" w:after="52" w:line="249" w:lineRule="auto"/>
        <w:ind w:left="525" w:right="42" w:hanging="360"/>
      </w:pPr>
      <w:r>
        <w:rPr/>
        <w:t xml:space="preserve">The project should emphasise transparency and accountability; </w:t>
      </w:r>
    </w:p>
    <w:p>
      <w:pPr>
        <w:pStyle w:val="normal"/>
        <w:numPr>
          <w:ilvl w:val="0"/>
          <w:numId w:val="4"/>
        </w:numPr>
        <w:spacing w:before="0" w:after="31" w:line="249" w:lineRule="auto"/>
        <w:ind w:left="525" w:right="42" w:hanging="360"/>
      </w:pPr>
      <w:r>
        <w:rPr/>
        <w:t xml:space="preserve">The project should be gender responsive and provide support to Special Needs Groups; </w:t>
      </w:r>
    </w:p>
    <w:p>
      <w:pPr>
        <w:pStyle w:val="normal"/>
        <w:numPr>
          <w:ilvl w:val="0"/>
          <w:numId w:val="4"/>
        </w:numPr>
        <w:spacing w:before="0" w:after="81" w:line="249" w:lineRule="auto"/>
        <w:ind w:left="525" w:right="42" w:hanging="360"/>
      </w:pPr>
      <w:r>
        <w:rPr/>
        <w:t xml:space="preserve">The project should consider natural resources management, especially as it relates to the impact of natural resources on local level conflicts </w:t>
      </w:r>
    </w:p>
    <w:p>
      <w:pPr>
        <w:pStyle w:val="normal"/>
        <w:numPr>
          <w:ilvl w:val="0"/>
          <w:numId w:val="4"/>
        </w:numPr>
        <w:spacing w:before="0" w:after="18" w:line="249" w:lineRule="auto"/>
        <w:ind w:left="525" w:right="42" w:hanging="360"/>
      </w:pPr>
      <w:r>
        <w:rPr/>
        <w:t xml:space="preserve">The project should take Do No Harm principles into consideration. </w:t>
      </w:r>
    </w:p>
    <w:p>
      <w:pPr>
        <w:spacing w:before="0" w:after="0" w:line="259" w:lineRule="auto"/>
        <w:ind w:left="180" w:right="0" w:firstLine="0"/>
        <w:jc w:val="left"/>
      </w:pPr>
      <w:r>
        <w:rPr>
          <w:rFonts w:cs="Arial" w:hAnsi="Arial" w:eastAsia="Arial" w:ascii="Arial"/>
          <w:b w:val="1"/>
        </w:rPr>
        <w:t xml:space="preserve"> </w:t>
      </w:r>
    </w:p>
    <w:p>
      <w:pPr>
        <w:pStyle w:val="heading2"/>
        <w:spacing w:before="0" w:after="3" w:line="253" w:lineRule="auto"/>
        <w:ind w:left="175"/>
      </w:pPr>
      <w:r>
        <w:rPr/>
        <w:t xml:space="preserve">2.2 Objectives and Activities </w:t>
      </w:r>
    </w:p>
    <w:p>
      <w:pPr>
        <w:spacing w:before="0" w:after="51" w:line="259" w:lineRule="auto"/>
        <w:ind w:left="180" w:right="0" w:firstLine="0"/>
        <w:jc w:val="left"/>
      </w:pPr>
      <w:r>
        <w:rPr/>
        <w:t xml:space="preserve"> </w:t>
      </w:r>
    </w:p>
    <w:p>
      <w:pPr>
        <w:pStyle w:val="normal"/>
        <w:spacing w:before="0" w:after="52" w:line="249" w:lineRule="auto"/>
        <w:ind w:left="175" w:right="42"/>
      </w:pPr>
      <w:r>
        <w:rPr/>
        <w:t xml:space="preserve">The current project for DDR in Darfur is requested by NSDDR and prepared jointly by NSDDRC and UNDP to provide capacity development and technical assistance to the NSDDR Commission in gearing up towards DDR programming in Darfur. The main goal of this </w:t>
      </w:r>
      <w:r>
        <w:rPr>
          <w:shd w:val="clear" w:color="auto" w:fill="e0e0e0"/>
        </w:rPr>
        <w:t xml:space="preserve">Preparatory Support Project for DDR in Darfur</w:t>
      </w:r>
      <w:r>
        <w:rPr/>
        <w:t xml:space="preserve"> is to support all relevant stakeholders, including receiving communities, to effectively participate in the design of the Darfur DDR process through adequate and timely preparation for programme design and implementation of the multi-year comprehensive Darfur DDR programme to follow as a subsequent phase. </w:t>
      </w:r>
    </w:p>
    <w:p>
      <w:pPr>
        <w:spacing w:before="0" w:after="40" w:line="259" w:lineRule="auto"/>
        <w:ind w:left="180" w:right="0" w:firstLine="0"/>
        <w:jc w:val="left"/>
      </w:pPr>
      <w:r>
        <w:rPr/>
        <w:t xml:space="preserve"> </w:t>
      </w:r>
    </w:p>
    <w:p>
      <w:pPr>
        <w:pStyle w:val="normal"/>
        <w:spacing w:before="0" w:after="52" w:line="249" w:lineRule="auto"/>
        <w:ind w:left="175" w:right="42"/>
      </w:pPr>
      <w:r>
        <w:rPr/>
        <w:t xml:space="preserve">The immediate objective of this project is to provide timely and effective technical and operational support to NSDDRC for the design, preparation, start-up and early implementation of the Darfur DDR programme.  The focus of this short term intervention will be: </w:t>
      </w:r>
    </w:p>
    <w:p>
      <w:pPr>
        <w:spacing w:before="0" w:after="55" w:line="259" w:lineRule="auto"/>
        <w:ind w:left="180" w:right="0" w:firstLine="0"/>
        <w:jc w:val="left"/>
      </w:pPr>
      <w:r>
        <w:rPr/>
        <w:t xml:space="preserve"> </w:t>
      </w:r>
    </w:p>
    <w:p>
      <w:pPr>
        <w:pStyle w:val="normal"/>
        <w:numPr>
          <w:ilvl w:val="0"/>
          <w:numId w:val="5"/>
        </w:numPr>
        <w:spacing w:before="0" w:after="52" w:line="249" w:lineRule="auto"/>
        <w:ind w:left="900" w:right="42" w:hanging="360"/>
      </w:pPr>
      <w:r>
        <w:rPr/>
        <w:t xml:space="preserve">Develop the NSDDRC’s capacity to set up operational structures, including Darfurian staff, to strengthen the DDR institutional framework   </w:t>
      </w:r>
    </w:p>
    <w:p>
      <w:pPr>
        <w:pStyle w:val="normal"/>
        <w:numPr>
          <w:ilvl w:val="0"/>
          <w:numId w:val="5"/>
        </w:numPr>
        <w:spacing w:before="0" w:after="83" w:line="249" w:lineRule="auto"/>
        <w:ind w:left="900" w:right="42" w:hanging="360"/>
      </w:pPr>
      <w:r>
        <w:rPr/>
        <w:t xml:space="preserve">Raise awareness of key actors at regional, state and community level, together with representatives of the factions involved in the conflict, on  the DDR processes, methodology and mechanisms, and understand if and how they are looking forward to a DDR process; </w:t>
      </w:r>
    </w:p>
    <w:p>
      <w:pPr>
        <w:pStyle w:val="normal"/>
        <w:numPr>
          <w:ilvl w:val="0"/>
          <w:numId w:val="5"/>
        </w:numPr>
        <w:spacing w:before="0" w:after="52" w:line="249" w:lineRule="auto"/>
        <w:ind w:left="900" w:right="42" w:hanging="360"/>
      </w:pPr>
      <w:r>
        <w:rPr/>
        <w:t xml:space="preserve">Collect feedback and suggestions from representatives of sub-state level, together with communities of anticipate return for a successful DDR process; </w:t>
      </w:r>
    </w:p>
    <w:p>
      <w:pPr>
        <w:pStyle w:val="normal"/>
        <w:numPr>
          <w:ilvl w:val="0"/>
          <w:numId w:val="5"/>
        </w:numPr>
        <w:spacing w:before="0" w:after="82" w:line="249" w:lineRule="auto"/>
        <w:ind w:left="900" w:right="42" w:hanging="360"/>
      </w:pPr>
      <w:r>
        <w:rPr/>
        <w:t xml:space="preserve">Design and agree on a comprehensive flow chart and process to implement the main phase DDR programme in Darfur, and define key requirements and activities for pre-registration and screening process of ex-combatants.  </w:t>
      </w:r>
    </w:p>
    <w:p>
      <w:pPr>
        <w:pStyle w:val="normal"/>
        <w:numPr>
          <w:ilvl w:val="0"/>
          <w:numId w:val="5"/>
        </w:numPr>
        <w:spacing w:before="0" w:after="31" w:line="249" w:lineRule="auto"/>
        <w:ind w:left="900" w:right="42" w:hanging="360"/>
      </w:pPr>
      <w:r>
        <w:rPr/>
        <w:t xml:space="preserve">Develop key programme tools including establishment of a DDR Programme Support Unit,  </w:t>
      </w:r>
    </w:p>
    <w:p>
      <w:pPr>
        <w:pStyle w:val="normal"/>
        <w:numPr>
          <w:ilvl w:val="0"/>
          <w:numId w:val="5"/>
        </w:numPr>
        <w:spacing w:before="0" w:after="52" w:line="249" w:lineRule="auto"/>
        <w:ind w:left="900" w:right="42" w:hanging="360"/>
      </w:pPr>
      <w:r>
        <w:rPr/>
        <w:t xml:space="preserve">Prepare a community security and small arms reduction and control strategy and programme to undertake CSAC pilot activities to address immediate necessities on the ground.  </w:t>
      </w:r>
    </w:p>
    <w:p>
      <w:pPr>
        <w:spacing w:before="0" w:after="52" w:line="259" w:lineRule="auto"/>
        <w:ind w:left="180" w:right="0" w:firstLine="0"/>
        <w:jc w:val="left"/>
      </w:pPr>
      <w:r>
        <w:rPr/>
        <w:t xml:space="preserve"> </w:t>
      </w:r>
    </w:p>
    <w:p>
      <w:pPr>
        <w:pStyle w:val="normal"/>
        <w:spacing w:before="0" w:after="52" w:line="249" w:lineRule="auto"/>
        <w:ind w:left="175" w:right="42"/>
      </w:pPr>
      <w:r>
        <w:rPr/>
        <w:t xml:space="preserve">Essentially, the current project serves as a preparatory phase for the main Darfur DDR programme whilst waiting for resources to be made available for full implementation of the main phase Darfur DDR programme and for the final financial and management arrangements to be agreed and formalised between the National Commission and the UN, as well as for progress in the peace process. This preparatory project is designed to be the catalyst that allows UNDP to place expertise in Darfur at this strategic junction not only for the peace process but also to prepare UNDP to assume its lead role in reintegration in the future. To this end, the relationship between this project and broader Early Recovery efforts / programming in Darfur, including the Darfur Regional Programming Framework / DAFAP should be developed and enhanced to scale-up Early Recovery programming in Darfur. </w:t>
      </w:r>
    </w:p>
    <w:p>
      <w:pPr>
        <w:spacing w:before="0" w:after="42" w:line="259" w:lineRule="auto"/>
        <w:ind w:left="180" w:right="0" w:firstLine="0"/>
        <w:jc w:val="left"/>
      </w:pPr>
      <w:r>
        <w:rPr/>
        <w:t xml:space="preserve"> </w:t>
      </w:r>
    </w:p>
    <w:p>
      <w:pPr>
        <w:pStyle w:val="heading2"/>
        <w:spacing w:before="0" w:after="3" w:line="253" w:lineRule="auto"/>
        <w:ind w:left="175"/>
      </w:pPr>
      <w:r>
        <w:rPr/>
        <w:t xml:space="preserve">2.3 Project outputs  </w:t>
      </w:r>
    </w:p>
    <w:p>
      <w:pPr>
        <w:spacing w:before="0" w:after="42" w:line="259" w:lineRule="auto"/>
        <w:ind w:left="180" w:right="0" w:firstLine="0"/>
        <w:jc w:val="left"/>
      </w:pPr>
      <w:r>
        <w:rPr/>
        <w:t xml:space="preserve"> </w:t>
      </w:r>
    </w:p>
    <w:p>
      <w:pPr>
        <w:pStyle w:val="normal"/>
        <w:spacing w:before="0" w:after="52" w:line="249" w:lineRule="auto"/>
        <w:ind w:left="175" w:right="42"/>
      </w:pPr>
      <w:r>
        <w:rPr/>
        <w:t xml:space="preserve">The current project is aimed to produce the following outputs: </w:t>
      </w:r>
    </w:p>
    <w:p>
      <w:pPr>
        <w:spacing w:before="0" w:after="40" w:line="259" w:lineRule="auto"/>
        <w:ind w:left="900" w:right="0" w:firstLine="0"/>
        <w:jc w:val="left"/>
      </w:pPr>
      <w:r>
        <w:rPr/>
        <w:t xml:space="preserve"> </w:t>
      </w:r>
    </w:p>
    <w:p>
      <w:pPr>
        <w:pStyle w:val="normal"/>
        <w:numPr>
          <w:ilvl w:val="0"/>
          <w:numId w:val="6"/>
        </w:numPr>
        <w:spacing w:before="0" w:after="9" w:line="249" w:lineRule="auto"/>
        <w:ind w:left="525" w:right="42" w:hanging="360"/>
      </w:pPr>
      <w:r>
        <w:rPr/>
        <w:t xml:space="preserve">Strengthen National Capacity and Institutional Framework for Darfur DDR </w:t>
      </w:r>
    </w:p>
    <w:p>
      <w:pPr>
        <w:pStyle w:val="normal"/>
        <w:numPr>
          <w:ilvl w:val="0"/>
          <w:numId w:val="6"/>
        </w:numPr>
        <w:spacing w:before="0" w:after="9" w:line="249" w:lineRule="auto"/>
        <w:ind w:left="525" w:right="42" w:hanging="360"/>
      </w:pPr>
      <w:r>
        <w:rPr/>
        <w:t xml:space="preserve">Raise awareness and sensitise key player of DDR process on key aspects of the programme </w:t>
      </w:r>
    </w:p>
    <w:p>
      <w:pPr>
        <w:pStyle w:val="normal"/>
        <w:numPr>
          <w:ilvl w:val="0"/>
          <w:numId w:val="6"/>
        </w:numPr>
        <w:spacing w:before="0" w:after="9" w:line="249" w:lineRule="auto"/>
        <w:ind w:left="525" w:right="42" w:hanging="360"/>
      </w:pPr>
      <w:r>
        <w:rPr/>
        <w:t xml:space="preserve">Agree on and design the Strategy and Action Plan for the main phase Darfur DDR programme </w:t>
      </w:r>
    </w:p>
    <w:p>
      <w:pPr>
        <w:spacing w:before="0" w:after="43" w:line="259" w:lineRule="auto"/>
        <w:ind w:left="180" w:right="0" w:firstLine="0"/>
        <w:jc w:val="left"/>
      </w:pPr>
      <w:r>
        <w:rPr/>
        <w:t xml:space="preserve"> </w:t>
      </w:r>
    </w:p>
    <w:p>
      <w:pPr>
        <w:pStyle w:val="heading3"/>
        <w:tabs>
          <w:tab w:val="center" w:pos="943"/>
          <w:tab w:val="center" w:pos="5035"/>
        </w:tabs>
        <w:spacing w:before="0" w:after="3" w:line="253" w:lineRule="auto"/>
        <w:ind w:left="0" w:firstLine="0"/>
      </w:pPr>
      <w:r>
        <w:rPr>
          <w:rFonts w:cs="Calibri" w:hAnsi="Calibri" w:eastAsia="Calibri" w:ascii="Calibri"/>
          <w:b w:val="0"/>
          <w:sz w:val="22"/>
        </w:rPr>
        <w:t xml:space="preserve">	</w:t>
      </w:r>
      <w:r>
        <w:rPr/>
        <w:t xml:space="preserve">2.3.1 	Develop National Capacity and Strengthen the DDR Institutional Framework </w:t>
      </w:r>
    </w:p>
    <w:p>
      <w:pPr>
        <w:spacing w:before="0" w:after="42" w:line="259" w:lineRule="auto"/>
        <w:ind w:left="0" w:right="0" w:firstLine="0"/>
        <w:jc w:val="left"/>
      </w:pPr>
      <w:r>
        <w:rPr/>
        <w:t xml:space="preserve"> </w:t>
      </w:r>
    </w:p>
    <w:p>
      <w:pPr>
        <w:pStyle w:val="normal"/>
        <w:spacing w:before="0" w:after="52" w:line="249" w:lineRule="auto"/>
        <w:ind w:left="730" w:right="42"/>
      </w:pPr>
      <w:r>
        <w:rPr/>
        <w:t xml:space="preserve">Capacities of national institutions will be crucial to succeed with the Darfur DDR planning and implementation.  </w:t>
      </w:r>
    </w:p>
    <w:p>
      <w:pPr>
        <w:spacing w:before="0" w:after="42" w:line="259" w:lineRule="auto"/>
        <w:ind w:left="720" w:right="0" w:firstLine="0"/>
        <w:jc w:val="left"/>
      </w:pPr>
      <w:r>
        <w:rPr/>
        <w:t xml:space="preserve"> </w:t>
      </w:r>
    </w:p>
    <w:p>
      <w:pPr>
        <w:pStyle w:val="normal"/>
        <w:spacing w:before="0" w:after="52" w:line="249" w:lineRule="auto"/>
        <w:ind w:left="730" w:right="42"/>
      </w:pPr>
      <w:r>
        <w:rPr/>
        <w:t xml:space="preserve">Indispensable elements of capacity that NSDDRC and relevant key national institutions need to develop are five-fold: </w:t>
      </w:r>
    </w:p>
    <w:p>
      <w:pPr>
        <w:pStyle w:val="normal"/>
        <w:numPr>
          <w:ilvl w:val="0"/>
          <w:numId w:val="7"/>
        </w:numPr>
        <w:spacing w:before="0" w:after="52" w:line="249" w:lineRule="auto"/>
        <w:ind w:left="1080" w:right="42" w:hanging="360"/>
      </w:pPr>
      <w:r>
        <w:rPr/>
        <w:t xml:space="preserve">Administrative and operational capacity; </w:t>
      </w:r>
    </w:p>
    <w:p>
      <w:pPr>
        <w:pStyle w:val="normal"/>
        <w:spacing w:before="0" w:after="52" w:line="249" w:lineRule="auto"/>
        <w:ind w:left="730" w:right="42"/>
      </w:pPr>
      <w:r>
        <w:rPr/>
        <w:t xml:space="preserve">The main objectives of developing this capacity is for NSDDRC to formulate, plan, manage and implement the full-fledged DDR project, including the capacity to prepare a budget and to estimate capacity development costs for the main phase DDR.  Also NSDDRC will be required to develop their capacity to manage human and financial resources and procurement in a large scale.  Along with that, </w:t>
      </w:r>
      <w:r>
        <w:rPr/>
        <w:t xml:space="preserve">NSDDRC will need to have monitoring and evaluation capacity such as setting indicators for monitoring, monitoring progress, measuring results, collecting feedback to adjust policies, codifying lessons, promoting learning and ensuring accountability to all relevant stakeholders. </w:t>
      </w:r>
    </w:p>
    <w:p>
      <w:pPr>
        <w:pStyle w:val="normal"/>
        <w:spacing w:before="0" w:after="52" w:line="249" w:lineRule="auto"/>
        <w:ind w:left="730" w:right="42"/>
      </w:pPr>
      <w:r>
        <w:rPr/>
        <w:t xml:space="preserve">To this end, the implementation of the DDR programme and the realisation of its objectives require the establishment of operational bases. The capitals of the three Darfur States – El Fasher, El Geneina and Nyala – are suitable locations to establish sub-regional offices of NSDDRC. The office locations and buildings are already identified by the government/NSDDRC but not fully operational.  The offices will be furnished with essential furniture and equipments.  NSDDRC, with procurement and technical engineering support from UNDP, will identify the requirement and specifications of furniture and equipment. </w:t>
      </w:r>
    </w:p>
    <w:p>
      <w:pPr>
        <w:pStyle w:val="normal"/>
        <w:numPr>
          <w:ilvl w:val="0"/>
          <w:numId w:val="7"/>
        </w:numPr>
        <w:spacing w:before="0" w:after="52" w:line="249" w:lineRule="auto"/>
        <w:ind w:left="1080" w:right="42" w:hanging="360"/>
      </w:pPr>
      <w:r>
        <w:rPr/>
        <w:t xml:space="preserve">Capacity to engage with their government and other key counterparts in the process  to develop a DDR strategy with assistance from UNDP and UNAMID; </w:t>
      </w:r>
    </w:p>
    <w:p>
      <w:pPr>
        <w:pStyle w:val="normal"/>
        <w:spacing w:before="0" w:after="52" w:line="249" w:lineRule="auto"/>
        <w:ind w:left="730" w:right="42"/>
      </w:pPr>
      <w:r>
        <w:rPr/>
        <w:t xml:space="preserve">Involvement of key counterparts such as state governors, state administrations, line state ministries (Ministry of Agriculture, Culture and Youth, Education, Labour, Water Resources, HAC etc.), and law enforcement agencies (Ministry of Defence, Police, and National Security) will be of key importance for successful implementation and sustainable outcome of DDR including CSAC.  This process will not limit the above-mentioned counterparts, but rather identify more stakeholders if any. The process will aim to motivate and mobilize the counterparts and to create partnerships and networks with them towards DDR. </w:t>
      </w:r>
    </w:p>
    <w:p>
      <w:pPr>
        <w:pStyle w:val="normal"/>
        <w:numPr>
          <w:ilvl w:val="0"/>
          <w:numId w:val="7"/>
        </w:numPr>
        <w:spacing w:before="0" w:after="52" w:line="249" w:lineRule="auto"/>
        <w:ind w:left="1080" w:right="42" w:hanging="360"/>
      </w:pPr>
      <w:r>
        <w:rPr/>
        <w:t xml:space="preserve">Capacity to carry out and/or manage an initial baseline survey on IPs, mapping of Reintegration opportunities, national monthly income of unskilled, semi-skilled labour, macro economic research, and environmental research in order to assess a situation and define a vision and mandate for implementation of Reintegration process;  </w:t>
      </w:r>
    </w:p>
    <w:p>
      <w:pPr>
        <w:pStyle w:val="normal"/>
        <w:spacing w:before="0" w:after="52" w:line="249" w:lineRule="auto"/>
        <w:ind w:left="730" w:right="42"/>
      </w:pPr>
      <w:r>
        <w:rPr/>
        <w:t xml:space="preserve">The NSDDRC and the UNDP will undertake economic baseline survey and mapping of reintegration service providers and opportunities in the three states of Darfur.  The outcome of Threat and Risk Mapping and Analysis (TRMA) project in Darfur run by UNDP will be referred to for this purpose. Also This DDR preparatory project will promote close collaboration with the current UNDP’s Livelihoods Programme in Darfur (Official Title: Enhancing Livelihood Opportunities and Building Social Capital for New Livelihoods Strategies in Darfur) and will exchange the analysis and information both projects/programmes glean. Such mapping and analysis will aim at compiling in a single document the information available on livelihoods, economic recovery, training and reintegration bodies in Darfur, as well as gathering data on the prospective costs per individuals.  This information will be gathered and shared with relevant stakeholders in order to allow all planners to analyze and synthesize data and information and articulate capacity assets and needs so that the planners will come up with informed budget requirements as far as reintegration is concerned. </w:t>
      </w:r>
    </w:p>
    <w:p>
      <w:pPr>
        <w:pStyle w:val="normal"/>
        <w:numPr>
          <w:ilvl w:val="0"/>
          <w:numId w:val="7"/>
        </w:numPr>
        <w:spacing w:before="0" w:after="52" w:line="249" w:lineRule="auto"/>
        <w:ind w:left="1080" w:right="42" w:hanging="360"/>
      </w:pPr>
      <w:r>
        <w:rPr/>
        <w:t xml:space="preserve">Capacity to conduct a public information and sensitisation campaign on DDR and CSAC that is detailed in the second sub-project on DDR public information and sensitization campaign; </w:t>
      </w:r>
    </w:p>
    <w:p>
      <w:pPr>
        <w:pStyle w:val="normal"/>
        <w:spacing w:before="0" w:after="52" w:line="249" w:lineRule="auto"/>
        <w:ind w:left="730" w:right="42"/>
      </w:pPr>
      <w:r>
        <w:rPr/>
        <w:t xml:space="preserve">Main objective is to promote engagement of civil society and the private sector which will become direct beneficiaries or potential stakeholders of the DDR process.  The NSDDRC will be required to manage large group processes and open dialogue with civil populace to mediate divergent interests and to establish collaborative mechanisms so that the implementation of the DDR will run more smoothly. </w:t>
      </w:r>
    </w:p>
    <w:p>
      <w:pPr>
        <w:pStyle w:val="normal"/>
        <w:numPr>
          <w:ilvl w:val="0"/>
          <w:numId w:val="7"/>
        </w:numPr>
        <w:spacing w:before="0" w:after="52" w:line="249" w:lineRule="auto"/>
        <w:ind w:left="1080" w:right="42" w:hanging="360"/>
      </w:pPr>
      <w:r>
        <w:rPr/>
        <w:t xml:space="preserve">Technical capacity to conduct DDR:  </w:t>
      </w:r>
    </w:p>
    <w:p>
      <w:pPr>
        <w:pStyle w:val="normal"/>
        <w:spacing w:before="0" w:after="52" w:line="249" w:lineRule="auto"/>
        <w:ind w:left="730" w:right="42"/>
      </w:pPr>
      <w:r>
        <w:rPr/>
        <w:t xml:space="preserve">Capacities of relevant personnel will be strengthened on key aspects of Darfur DDR such as developing operational guidelines and SOPs for DDR, community security and arms reduction and control activities. Training of NSDDRC staff will be conducted according to training requirements, including information and counselling methodology, with the technical assistance of UNDP throughout the current project. </w:t>
      </w:r>
    </w:p>
    <w:p>
      <w:pPr>
        <w:spacing w:before="0" w:after="42" w:line="259" w:lineRule="auto"/>
        <w:ind w:left="720" w:right="0" w:firstLine="0"/>
        <w:jc w:val="left"/>
      </w:pPr>
      <w:r>
        <w:rPr/>
        <w:t xml:space="preserve"> </w:t>
      </w:r>
    </w:p>
    <w:p>
      <w:pPr>
        <w:pStyle w:val="normal"/>
        <w:spacing w:before="0" w:after="52" w:line="249" w:lineRule="auto"/>
        <w:ind w:left="730" w:right="42"/>
      </w:pPr>
      <w:r>
        <w:rPr/>
        <w:t xml:space="preserve">To meet these requirements and to assist NSDDRC’s activities and enhance their implementing capacity in the field, UNDP will recruit staff members who are well-qualified and, in the case of national staff, from the local area. Part of the recruited UNDP staff will be embedded in each of the three DDR sub-regional offices for Darfur States’ DDRCs. </w:t>
      </w:r>
    </w:p>
    <w:p>
      <w:pPr>
        <w:spacing w:before="0" w:after="42" w:line="259" w:lineRule="auto"/>
        <w:ind w:left="180" w:right="0" w:firstLine="0"/>
        <w:jc w:val="left"/>
      </w:pPr>
      <w:r>
        <w:rPr/>
        <w:t xml:space="preserve"> </w:t>
      </w:r>
    </w:p>
    <w:p>
      <w:pPr>
        <w:pStyle w:val="heading3"/>
        <w:spacing w:before="0" w:after="3" w:line="253" w:lineRule="auto"/>
        <w:ind w:left="1440" w:hanging="720"/>
      </w:pPr>
      <w:r>
        <w:rPr/>
        <w:t xml:space="preserve">2.3.2 	Raise awareness and sensitise key player of DDR process on key aspects of the programme  </w:t>
      </w:r>
    </w:p>
    <w:p>
      <w:pPr>
        <w:spacing w:before="0" w:after="40" w:line="259" w:lineRule="auto"/>
        <w:ind w:left="720" w:right="0" w:firstLine="0"/>
        <w:jc w:val="left"/>
      </w:pPr>
      <w:r>
        <w:rPr/>
        <w:t xml:space="preserve"> </w:t>
      </w:r>
    </w:p>
    <w:p>
      <w:pPr>
        <w:pStyle w:val="normal"/>
        <w:spacing w:before="0" w:after="52" w:line="249" w:lineRule="auto"/>
        <w:ind w:left="730" w:right="42"/>
      </w:pPr>
      <w:r>
        <w:rPr/>
        <w:t xml:space="preserve">The DDR programmes in Sudan are fairly unknown by the vast majority of the Sudanese population. Moreover, it seems that the contents of DPA, particularly their security components, to a large extent </w:t>
      </w:r>
      <w:r>
        <w:rPr/>
        <w:t xml:space="preserve">are ignored by the people of Darfur. Lack of information is certainly fuelling the frustration over community security and arms control questions. </w:t>
      </w:r>
    </w:p>
    <w:p>
      <w:pPr>
        <w:spacing w:before="0" w:after="42" w:line="259" w:lineRule="auto"/>
        <w:ind w:left="720" w:right="0" w:firstLine="0"/>
        <w:jc w:val="left"/>
      </w:pPr>
      <w:r>
        <w:rPr/>
        <w:t xml:space="preserve"> </w:t>
      </w:r>
    </w:p>
    <w:p>
      <w:pPr>
        <w:pStyle w:val="normal"/>
        <w:spacing w:before="0" w:after="52" w:line="249" w:lineRule="auto"/>
        <w:ind w:left="730" w:right="42"/>
      </w:pPr>
      <w:r>
        <w:rPr/>
        <w:t xml:space="preserve">Major target groups for the PI and Sensitisation Campaign are defined as (1) state administrations and ministries, (2) traditional institutions (sultan) (3) religious and community leaders including women and youth and (4) armed groups who are directly involved in the Darfur conflict.  An effective public information and sensitisation campaign for DDR and CSAC can help the regional government and community leaders prepare the implementation of a comprehensive DDR programme and realise that a weapon-free society is more conducive to stability and development than one in which access to weapons is prevalent. To this end, the concept and significance of small arms reduction and control as well as community security will be incorporated in the sensitisation messages.  </w:t>
      </w:r>
    </w:p>
    <w:p>
      <w:pPr>
        <w:spacing w:before="0" w:after="42" w:line="259" w:lineRule="auto"/>
        <w:ind w:left="720" w:right="0" w:firstLine="0"/>
        <w:jc w:val="left"/>
      </w:pPr>
      <w:r>
        <w:rPr/>
        <w:t xml:space="preserve"> </w:t>
      </w:r>
    </w:p>
    <w:p>
      <w:pPr>
        <w:pStyle w:val="normal"/>
        <w:spacing w:before="0" w:after="52" w:line="249" w:lineRule="auto"/>
        <w:ind w:left="730" w:right="42"/>
      </w:pPr>
      <w:r>
        <w:rPr/>
        <w:t xml:space="preserve">The NSDDRC will lead the efforts on DDR sensitisation, supported by UNDP.  Involvement of NGOs which have expertise and experience in outreach campaign in Darfur is worth consideration.  To this end, the output of TRMA can be a useful tool to figure out the geographical and thematic fields where such NGOs have strength and presence. </w:t>
      </w:r>
    </w:p>
    <w:p>
      <w:pPr>
        <w:spacing w:before="0" w:after="40" w:line="259" w:lineRule="auto"/>
        <w:ind w:left="720" w:right="0" w:firstLine="0"/>
        <w:jc w:val="left"/>
      </w:pPr>
      <w:r>
        <w:rPr/>
        <w:t xml:space="preserve"> </w:t>
      </w:r>
    </w:p>
    <w:p>
      <w:pPr>
        <w:pStyle w:val="normal"/>
        <w:spacing w:before="0" w:after="52" w:line="249" w:lineRule="auto"/>
        <w:ind w:left="730" w:right="42"/>
      </w:pPr>
      <w:r>
        <w:rPr/>
        <w:t xml:space="preserve">(1) State administrations and ministries; and (2) traditional institutions (sultan): </w:t>
      </w:r>
    </w:p>
    <w:p>
      <w:pPr>
        <w:pStyle w:val="normal"/>
        <w:spacing w:before="0" w:after="52" w:line="249" w:lineRule="auto"/>
        <w:ind w:left="730" w:right="42"/>
      </w:pPr>
      <w:r>
        <w:rPr/>
        <w:t xml:space="preserve">The campaign for those target groups will aim to receive political support from regional political stakeholders.  Conference and workshops are the main schemes. </w:t>
      </w:r>
    </w:p>
    <w:p>
      <w:pPr>
        <w:pStyle w:val="normal"/>
        <w:numPr>
          <w:ilvl w:val="0"/>
          <w:numId w:val="8"/>
        </w:numPr>
        <w:spacing w:before="0" w:after="52" w:line="249" w:lineRule="auto"/>
        <w:ind w:left="1020" w:right="42" w:hanging="300"/>
      </w:pPr>
      <w:r>
        <w:rPr/>
        <w:t xml:space="preserve">Religious and community leaders including women and youth: </w:t>
      </w:r>
    </w:p>
    <w:p>
      <w:pPr>
        <w:pStyle w:val="normal"/>
        <w:spacing w:before="0" w:after="52" w:line="249" w:lineRule="auto"/>
        <w:ind w:left="730" w:right="42"/>
      </w:pPr>
      <w:r>
        <w:rPr/>
        <w:t xml:space="preserve">Given Sudan's size and high rates of illiteracy, radio could be the best media to reach the large population. Theatre caravan and other cultural events to reach out the target community also will be considered depending on security conditions.  In addition and to avoid security concerns in some localities, workshops will be conducted in the three capitals of the Darfur states to invite community leaders with state authorities for joint discussions.   </w:t>
      </w:r>
    </w:p>
    <w:p>
      <w:pPr>
        <w:pStyle w:val="normal"/>
        <w:numPr>
          <w:ilvl w:val="0"/>
          <w:numId w:val="8"/>
        </w:numPr>
        <w:spacing w:before="0" w:after="52" w:line="249" w:lineRule="auto"/>
        <w:ind w:left="1020" w:right="42" w:hanging="300"/>
      </w:pPr>
      <w:r>
        <w:rPr/>
        <w:t xml:space="preserve">Armed groups who are directly involved in the Darfur conflict: </w:t>
      </w:r>
    </w:p>
    <w:p>
      <w:pPr>
        <w:pStyle w:val="normal"/>
        <w:spacing w:before="0" w:after="52" w:line="249" w:lineRule="auto"/>
        <w:ind w:left="730" w:right="42"/>
      </w:pPr>
      <w:r>
        <w:rPr/>
        <w:t xml:space="preserve">The campaign for armed groups will be expected to provide a clear picture of DDR to armed groups as direct beneficiaries and encourage them to enter the DDR process.  The sensitisation activities also include joint meetings with commanders and community leaders in high priority communities in Western, Northern and Southern Darfur states. </w:t>
      </w:r>
    </w:p>
    <w:p>
      <w:pPr>
        <w:spacing w:before="0" w:after="43" w:line="259" w:lineRule="auto"/>
        <w:ind w:left="720" w:right="0" w:firstLine="0"/>
        <w:jc w:val="left"/>
      </w:pPr>
      <w:r>
        <w:rPr/>
        <w:t xml:space="preserve"> </w:t>
      </w:r>
    </w:p>
    <w:p>
      <w:pPr>
        <w:pStyle w:val="heading3"/>
        <w:spacing w:before="0" w:after="3" w:line="253" w:lineRule="auto"/>
        <w:ind w:left="1440" w:hanging="720"/>
      </w:pPr>
      <w:r>
        <w:rPr/>
        <w:t xml:space="preserve">2.3.3 	Agree on and design the Strategy and Action Plan for the Main Phase Darfur DDR Programme </w:t>
      </w:r>
    </w:p>
    <w:p>
      <w:pPr>
        <w:spacing w:before="0" w:after="51" w:line="259" w:lineRule="auto"/>
        <w:ind w:left="720" w:right="0" w:firstLine="0"/>
        <w:jc w:val="left"/>
      </w:pPr>
      <w:r>
        <w:rPr/>
        <w:t xml:space="preserve"> </w:t>
      </w:r>
    </w:p>
    <w:p>
      <w:pPr>
        <w:pStyle w:val="normal"/>
        <w:spacing w:before="0" w:after="52" w:line="249" w:lineRule="auto"/>
        <w:ind w:left="730" w:right="42"/>
      </w:pPr>
      <w:r>
        <w:rPr/>
        <w:t xml:space="preserve">During the implementation of this project, joint programme formulation will be undertaken by NSDDRC, UNAMID DDR planning section and UNDP. The team will elaborate the concept, strategy and action plan of the main phase Darfur DDR – the multi-year, full-fledged Darfur DDR programme. A comprehensive DDR programme document with a well-elaborated strategy will be drafted on the basis of the experience and evolving requirements to be identified throughout the current project and other DDR projects implemented in Sudan such as the Sudan DDR Programme in the CPA area and the Eastern Sudan DDR project. The project document for the main phase Darfur DDR will be prepared by the end of this project and submitted for endorsement by the Government and the UN in accordance with formal procedures. </w:t>
      </w:r>
    </w:p>
    <w:p>
      <w:pPr>
        <w:spacing w:before="0" w:after="52" w:line="259" w:lineRule="auto"/>
        <w:ind w:left="720" w:right="0" w:firstLine="0"/>
        <w:jc w:val="left"/>
      </w:pPr>
      <w:r>
        <w:rPr/>
        <w:t xml:space="preserve"> </w:t>
      </w:r>
    </w:p>
    <w:p>
      <w:pPr>
        <w:pStyle w:val="normal"/>
        <w:spacing w:before="0" w:after="52" w:line="249" w:lineRule="auto"/>
        <w:ind w:left="730" w:right="42"/>
      </w:pPr>
      <w:r>
        <w:rPr/>
        <w:t xml:space="preserve">The main phase Darfur DDR programme will focus on carrying out the full-fledged DDR and CSAC projects in Darfur through (but not limited to) the following:  </w:t>
      </w:r>
    </w:p>
    <w:p>
      <w:pPr>
        <w:spacing w:before="0" w:after="54" w:line="259" w:lineRule="auto"/>
        <w:ind w:left="720" w:right="0" w:firstLine="0"/>
        <w:jc w:val="left"/>
      </w:pPr>
      <w:r>
        <w:rPr/>
        <w:t xml:space="preserve"> </w:t>
      </w:r>
    </w:p>
    <w:p>
      <w:pPr>
        <w:pStyle w:val="normal"/>
        <w:numPr>
          <w:ilvl w:val="0"/>
          <w:numId w:val="9"/>
        </w:numPr>
        <w:spacing w:before="0" w:after="52" w:line="249" w:lineRule="auto"/>
        <w:ind w:left="1980" w:right="42" w:hanging="900"/>
      </w:pPr>
      <w:r>
        <w:rPr/>
        <w:t xml:space="preserve">supporting further capacity development of national and local DDR institutions and implementing partners;  </w:t>
      </w:r>
    </w:p>
    <w:p>
      <w:pPr>
        <w:pStyle w:val="normal"/>
        <w:numPr>
          <w:ilvl w:val="0"/>
          <w:numId w:val="9"/>
        </w:numPr>
        <w:spacing w:before="0" w:after="52" w:line="249" w:lineRule="auto"/>
        <w:ind w:left="1980" w:right="42" w:hanging="900"/>
      </w:pPr>
      <w:r>
        <w:rPr/>
        <w:t xml:space="preserve">supporting the logistical and operational aspects of the DDR and CSAC processes such as weapons collection and storage; </w:t>
      </w:r>
    </w:p>
    <w:p>
      <w:pPr>
        <w:pStyle w:val="normal"/>
        <w:numPr>
          <w:ilvl w:val="0"/>
          <w:numId w:val="9"/>
        </w:numPr>
        <w:spacing w:before="0" w:after="52" w:line="249" w:lineRule="auto"/>
        <w:ind w:left="1980" w:right="42" w:hanging="900"/>
      </w:pPr>
      <w:r>
        <w:rPr/>
        <w:t xml:space="preserve">continuing PI and sensitisation campaigns for both state and non-state actors on the DDR processes; </w:t>
      </w:r>
    </w:p>
    <w:p>
      <w:pPr>
        <w:pStyle w:val="normal"/>
        <w:numPr>
          <w:ilvl w:val="0"/>
          <w:numId w:val="9"/>
        </w:numPr>
        <w:spacing w:before="0" w:after="81" w:line="249" w:lineRule="auto"/>
        <w:ind w:left="1980" w:right="42" w:hanging="900"/>
      </w:pPr>
      <w:r>
        <w:rPr/>
        <w:t xml:space="preserve">continuing the required research, surveys, assessments and data collection exercises for both DDR and CSAC (Community Security and Arms Control) programming; </w:t>
      </w:r>
    </w:p>
    <w:p>
      <w:pPr>
        <w:pStyle w:val="normal"/>
        <w:numPr>
          <w:ilvl w:val="0"/>
          <w:numId w:val="9"/>
        </w:numPr>
        <w:spacing w:before="0" w:after="52" w:line="249" w:lineRule="auto"/>
        <w:ind w:left="1980" w:right="42" w:hanging="900"/>
      </w:pPr>
      <w:r>
        <w:rPr/>
        <w:t xml:space="preserve">conducting profiling of DDR candidates; </w:t>
      </w:r>
    </w:p>
    <w:p>
      <w:pPr>
        <w:pStyle w:val="normal"/>
        <w:numPr>
          <w:ilvl w:val="0"/>
          <w:numId w:val="9"/>
        </w:numPr>
        <w:spacing w:before="0" w:after="52" w:line="249" w:lineRule="auto"/>
        <w:ind w:left="1980" w:right="42" w:hanging="900"/>
      </w:pPr>
      <w:r>
        <w:rPr/>
        <w:t xml:space="preserve">conducting assessment of reintegration opportunities and mapping of support services; </w:t>
      </w:r>
    </w:p>
    <w:p>
      <w:pPr>
        <w:pStyle w:val="normal"/>
        <w:numPr>
          <w:ilvl w:val="0"/>
          <w:numId w:val="9"/>
        </w:numPr>
        <w:spacing w:before="0" w:after="31" w:line="249" w:lineRule="auto"/>
        <w:ind w:left="1980" w:right="42" w:hanging="900"/>
      </w:pPr>
      <w:r>
        <w:rPr/>
        <w:t xml:space="preserve">establishing information, counselling and referral service; </w:t>
      </w:r>
    </w:p>
    <w:p>
      <w:pPr>
        <w:pStyle w:val="normal"/>
        <w:numPr>
          <w:ilvl w:val="0"/>
          <w:numId w:val="9"/>
        </w:numPr>
        <w:spacing w:before="0" w:after="81" w:line="249" w:lineRule="auto"/>
        <w:ind w:left="1980" w:right="42" w:hanging="900"/>
      </w:pPr>
      <w:r>
        <w:rPr/>
        <w:t xml:space="preserve">bridging the gap between demobilisation and reintegration by conducting transitional safety net project; </w:t>
      </w:r>
    </w:p>
    <w:p>
      <w:pPr>
        <w:pStyle w:val="normal"/>
        <w:numPr>
          <w:ilvl w:val="0"/>
          <w:numId w:val="9"/>
        </w:numPr>
        <w:spacing w:before="0" w:after="52" w:line="249" w:lineRule="auto"/>
        <w:ind w:left="1980" w:right="42" w:hanging="900"/>
      </w:pPr>
      <w:r>
        <w:rPr/>
        <w:t xml:space="preserve">seeking economic and social reintegration for ex-combatants and SNGs; </w:t>
      </w:r>
    </w:p>
    <w:p>
      <w:pPr>
        <w:pStyle w:val="normal"/>
        <w:numPr>
          <w:ilvl w:val="0"/>
          <w:numId w:val="9"/>
        </w:numPr>
        <w:spacing w:before="0" w:after="52" w:line="249" w:lineRule="auto"/>
        <w:ind w:left="1980" w:right="42" w:hanging="900"/>
      </w:pPr>
      <w:r>
        <w:rPr/>
        <w:t xml:space="preserve">providing support for psychosocial reintegration; </w:t>
      </w:r>
    </w:p>
    <w:p>
      <w:pPr>
        <w:sectPr>
          <w:footerReference w:type="even" r:id="rId6"/>
          <w:footerReference w:type="default" r:id="rId5"/>
          <w:footerReference w:type="first" r:id="rId4"/>
          <w:pgSz w:w="11900" w:h="16840" w:orient="portrait"/>
          <w:pgMar w:footer="632" w:left="971" w:top="1116" w:right="1091" w:bottom="946"/>
          <w:pgNumType w:fmt="decimal"/>
          <w:cols/>
        </w:sectPr>
      </w:pPr>
    </w:p>
    <w:p>
      <w:pPr>
        <w:pStyle w:val="heading1"/>
        <w:tabs>
          <w:tab w:val="center" w:pos="2754"/>
        </w:tabs>
        <w:spacing w:before="0" w:after="0" w:line="259" w:lineRule="auto"/>
        <w:ind w:left="-15" w:firstLine="0"/>
      </w:pPr>
      <w:r>
        <w:rPr>
          <w:rFonts w:cs="Calibri" w:hAnsi="Calibri" w:eastAsia="Calibri" w:ascii="Calibri"/>
          <w:sz w:val="22"/>
        </w:rPr>
        <w:drawing>
          <wp:anchor simplePos="0" relativeHeight="0" locked="0" layoutInCell="1" allowOverlap="1" behindDoc="0">
            <wp:simplePos x="0" y="0"/>
            <wp:positionH relativeFrom="page">
              <wp:posOffset>529476</wp:posOffset>
            </wp:positionH>
            <wp:positionV relativeFrom="page">
              <wp:posOffset>883158</wp:posOffset>
            </wp:positionV>
            <wp:extent cx="9632442" cy="6097"/>
            <wp:wrapTopAndBottom/>
            <wp:docPr id="45403" name="Group 45403"/>
            <wp:cNvGraphicFramePr/>
            <a:graphic>
              <a:graphicData uri="http://schemas.microsoft.com/office/word/2010/wordprocessingGroup">
                <wpg:wgp>
                  <wpg:cNvGrpSpPr/>
                  <wpg:grpSpPr>
                    <a:xfrm>
                      <a:off x="0" y="0"/>
                      <a:ext cx="9632442" cy="6097"/>
                      <a:chOff x="0" y="0"/>
                      <a:chExt cx="9632442" cy="6097"/>
                    </a:xfrm>
                  </wpg:grpSpPr>
                  <wps:wsp>
                    <wps:cNvPr id="62674" name="Shape 62674"/>
                    <wps:cNvSpPr/>
                    <wps:spPr>
                      <a:xfrm>
                        <a:off x="0" y="0"/>
                        <a:ext cx="9632442" cy="9145"/>
                      </a:xfrm>
                      <a:custGeom>
                        <a:pathLst>
                          <a:path w="9632442" h="9145">
                            <a:moveTo>
                              <a:pt x="0" y="0"/>
                            </a:moveTo>
                            <a:lnTo>
                              <a:pt x="9632442" y="0"/>
                            </a:lnTo>
                            <a:lnTo>
                              <a:pt x="9632442" y="9145"/>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sz w:val="28"/>
        </w:rPr>
        <w:t xml:space="preserve">III.</w:t>
      </w:r>
      <w:r>
        <w:rPr>
          <w:rFonts w:cs="Arial" w:hAnsi="Arial" w:eastAsia="Arial" w:ascii="Arial"/>
          <w:sz w:val="28"/>
        </w:rPr>
        <w:t xml:space="preserve"> 	</w:t>
      </w:r>
      <w:r>
        <w:rPr>
          <w:sz w:val="28"/>
        </w:rPr>
        <w:t xml:space="preserve">R</w:t>
      </w:r>
      <w:r>
        <w:rPr/>
        <w:t xml:space="preserve">ESULTS AND </w:t>
      </w:r>
      <w:r>
        <w:rPr>
          <w:sz w:val="28"/>
        </w:rPr>
        <w:t xml:space="preserve">R</w:t>
      </w:r>
      <w:r>
        <w:rPr/>
        <w:t xml:space="preserve">ESOURCES </w:t>
      </w:r>
      <w:r>
        <w:rPr>
          <w:sz w:val="28"/>
        </w:rPr>
        <w:t xml:space="preserve">F</w:t>
      </w:r>
      <w:r>
        <w:rPr/>
        <w:t xml:space="preserve">RAMEWORK</w:t>
      </w:r>
      <w:r>
        <w:rPr>
          <w:sz w:val="28"/>
        </w:rPr>
        <w:t xml:space="preserve"> </w:t>
      </w:r>
    </w:p>
    <w:tbl>
      <w:tblPr>
        <w:tblStyle w:val="TableGrid"/>
        <w:tblW w:w="15461" w:type="dxa"/>
        <w:tblInd w:w="0" w:type="dxa"/>
        <w:tblCellMar>
          <w:top w:w="9" w:type="dxa"/>
          <w:left w:w="0" w:type="dxa"/>
          <w:bottom w:w="0" w:type="dxa"/>
          <w:right w:w="0" w:type="dxa"/>
        </w:tblCellMar>
      </w:tblPr>
      <w:tblGrid>
        <w:gridCol w:w="4396"/>
        <w:gridCol w:w="144"/>
        <w:gridCol w:w="4379"/>
        <w:gridCol w:w="2782"/>
        <w:gridCol w:w="1800"/>
        <w:gridCol w:w="1961"/>
      </w:tblGrid>
      <w:tr>
        <w:trPr>
          <w:trHeight w:val="613" w:hRule="atLeast"/>
        </w:trPr>
        <w:tc>
          <w:tcPr>
            <w:tcW w:w="13500" w:type="dxa"/>
            <w:gridSpan w:val="5"/>
            <w:tcBorders>
              <w:top w:val="single" w:sz="4" w:color="000000"/>
              <w:left w:val="single" w:sz="4" w:color="000000"/>
              <w:bottom w:val="single" w:sz="4" w:color="000000"/>
              <w:right w:val="nil"/>
            </w:tcBorders>
            <w:vAlign w:val="top"/>
          </w:tcPr>
          <w:p>
            <w:pPr>
              <w:spacing w:before="0" w:after="21" w:line="259" w:lineRule="auto"/>
              <w:ind w:left="108" w:right="0" w:firstLine="0"/>
              <w:jc w:val="left"/>
            </w:pPr>
            <w:r>
              <w:rPr>
                <w:rFonts w:cs="Arial" w:hAnsi="Arial" w:eastAsia="Arial" w:ascii="Arial"/>
                <w:b w:val="1"/>
                <w:sz w:val="22"/>
              </w:rPr>
              <w:t xml:space="preserve">Intended Outcome as stated in the Country Programme Results and Resource Framework:  </w:t>
            </w:r>
          </w:p>
          <w:p>
            <w:pPr>
              <w:spacing w:before="0" w:after="0" w:line="259" w:lineRule="auto"/>
              <w:ind w:left="108" w:right="0" w:firstLine="0"/>
              <w:jc w:val="left"/>
            </w:pPr>
            <w:r>
              <w:rPr>
                <w:rFonts w:cs="Arial" w:hAnsi="Arial" w:eastAsia="Arial" w:ascii="Arial"/>
                <w:i w:val="1"/>
              </w:rPr>
              <w:t xml:space="preserve">7. Post-conflict socio-economic infrastructure restored, economy revived and employment generated. </w:t>
            </w:r>
          </w:p>
        </w:tc>
        <w:tc>
          <w:tcPr>
            <w:tcW w:w="1961"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1482" w:hRule="atLeast"/>
        </w:trPr>
        <w:tc>
          <w:tcPr>
            <w:tcW w:w="13500" w:type="dxa"/>
            <w:gridSpan w:val="5"/>
            <w:tcBorders>
              <w:top w:val="single" w:sz="4" w:color="000000"/>
              <w:left w:val="single" w:sz="4" w:color="000000"/>
              <w:bottom w:val="single" w:sz="4" w:color="000000"/>
              <w:right w:val="nil"/>
            </w:tcBorders>
            <w:vAlign w:val="top"/>
          </w:tcPr>
          <w:p>
            <w:pPr>
              <w:spacing w:before="0" w:after="21" w:line="259" w:lineRule="auto"/>
              <w:ind w:left="108" w:right="0" w:firstLine="0"/>
              <w:jc w:val="left"/>
            </w:pPr>
            <w:r>
              <w:rPr>
                <w:rFonts w:cs="Arial" w:hAnsi="Arial" w:eastAsia="Arial" w:ascii="Arial"/>
                <w:b w:val="1"/>
                <w:sz w:val="22"/>
              </w:rPr>
              <w:t xml:space="preserve">Outcome indicators as stated in the Country Programme Results and Resources Framework, including baseline and targets: </w:t>
            </w:r>
          </w:p>
          <w:p>
            <w:pPr>
              <w:spacing w:before="0" w:after="40" w:line="259" w:lineRule="auto"/>
              <w:ind w:left="108" w:right="0" w:firstLine="0"/>
              <w:jc w:val="left"/>
            </w:pPr>
            <w:r>
              <w:rPr>
                <w:rFonts w:cs="Arial" w:hAnsi="Arial" w:eastAsia="Arial" w:ascii="Arial"/>
                <w:i w:val="1"/>
              </w:rPr>
              <w:t xml:space="preserve">Indicator: Change in human security (mines, small arms, socio-economic) of crisis affected groups.  </w:t>
            </w:r>
          </w:p>
          <w:p>
            <w:pPr>
              <w:spacing w:before="0" w:after="42" w:line="259" w:lineRule="auto"/>
              <w:ind w:left="108" w:right="0" w:firstLine="0"/>
              <w:jc w:val="left"/>
            </w:pPr>
            <w:r>
              <w:rPr>
                <w:rFonts w:cs="Arial" w:hAnsi="Arial" w:eastAsia="Arial" w:ascii="Arial"/>
                <w:i w:val="1"/>
              </w:rPr>
              <w:t xml:space="preserve">Baseline: Interim DDR Programme active in the North, South and East. MYDDR programme pilot launched in Blue Nile State.  </w:t>
            </w:r>
          </w:p>
          <w:p>
            <w:pPr>
              <w:spacing w:before="0" w:after="42" w:line="259" w:lineRule="auto"/>
              <w:ind w:left="108" w:right="0" w:firstLine="0"/>
              <w:jc w:val="left"/>
            </w:pPr>
            <w:r>
              <w:rPr>
                <w:rFonts w:cs="Arial" w:hAnsi="Arial" w:eastAsia="Arial" w:ascii="Arial"/>
                <w:i w:val="1"/>
              </w:rPr>
              <w:t xml:space="preserve">Target: National Institutions technically supported for development of joint DDR policies and strategies and enabled to manage the DDR process. </w:t>
            </w:r>
          </w:p>
          <w:p>
            <w:pPr>
              <w:spacing w:before="0" w:after="0" w:line="259" w:lineRule="auto"/>
              <w:ind w:left="108" w:right="0" w:firstLine="0"/>
              <w:jc w:val="left"/>
            </w:pPr>
            <w:r>
              <w:rPr>
                <w:rFonts w:cs="Arial" w:hAnsi="Arial" w:eastAsia="Arial" w:ascii="Arial"/>
                <w:i w:val="1"/>
              </w:rPr>
              <w:t xml:space="preserve"> </w:t>
            </w:r>
          </w:p>
        </w:tc>
        <w:tc>
          <w:tcPr>
            <w:tcW w:w="1961"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323" w:hRule="atLeast"/>
        </w:trPr>
        <w:tc>
          <w:tcPr>
            <w:tcW w:w="13500" w:type="dxa"/>
            <w:gridSpan w:val="5"/>
            <w:tcBorders>
              <w:top w:val="single" w:sz="4" w:color="000000"/>
              <w:left w:val="single" w:sz="4" w:color="000000"/>
              <w:bottom w:val="single" w:sz="4" w:color="000000"/>
              <w:right w:val="nil"/>
            </w:tcBorders>
            <w:vAlign w:val="top"/>
          </w:tcPr>
          <w:p>
            <w:pPr>
              <w:spacing w:before="0" w:after="0" w:line="259" w:lineRule="auto"/>
              <w:ind w:left="108" w:right="0" w:firstLine="0"/>
              <w:jc w:val="left"/>
            </w:pPr>
            <w:r>
              <w:rPr>
                <w:rFonts w:cs="Arial" w:hAnsi="Arial" w:eastAsia="Arial" w:ascii="Arial"/>
                <w:b w:val="1"/>
                <w:sz w:val="22"/>
              </w:rPr>
              <w:t xml:space="preserve">Applicable Key Result Area (from 2008-11 Strategic Plan):  </w:t>
            </w:r>
            <w:r>
              <w:rPr>
                <w:sz w:val="22"/>
              </w:rPr>
              <w:t xml:space="preserve">Crisis prevention and Recovery </w:t>
            </w:r>
          </w:p>
        </w:tc>
        <w:tc>
          <w:tcPr>
            <w:tcW w:w="1961"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325" w:hRule="atLeast"/>
        </w:trPr>
        <w:tc>
          <w:tcPr>
            <w:tcW w:w="13500" w:type="dxa"/>
            <w:gridSpan w:val="5"/>
            <w:tcBorders>
              <w:top w:val="single" w:sz="4" w:color="000000"/>
              <w:left w:val="single" w:sz="4" w:color="000000"/>
              <w:bottom w:val="single" w:sz="4" w:color="000000"/>
              <w:right w:val="nil"/>
            </w:tcBorders>
            <w:vAlign w:val="top"/>
          </w:tcPr>
          <w:p>
            <w:pPr>
              <w:spacing w:before="0" w:after="0" w:line="259" w:lineRule="auto"/>
              <w:ind w:left="108" w:right="0" w:firstLine="0"/>
              <w:jc w:val="left"/>
            </w:pPr>
            <w:r>
              <w:rPr>
                <w:rFonts w:cs="Arial" w:hAnsi="Arial" w:eastAsia="Arial" w:ascii="Arial"/>
                <w:b w:val="1"/>
                <w:sz w:val="22"/>
              </w:rPr>
              <w:t xml:space="preserve">Partnership Strategy: </w:t>
            </w:r>
            <w:r>
              <w:rPr>
                <w:sz w:val="22"/>
              </w:rPr>
              <w:t xml:space="preserve">NSDDRC, UNAMID </w:t>
            </w:r>
          </w:p>
        </w:tc>
        <w:tc>
          <w:tcPr>
            <w:tcW w:w="1961"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256" w:hRule="atLeast"/>
        </w:trPr>
        <w:tc>
          <w:tcPr>
            <w:tcW w:w="4540" w:type="dxa"/>
            <w:gridSpan w:val="2"/>
            <w:vMerge w:val="restart"/>
            <w:tcBorders>
              <w:top w:val="single" w:sz="4" w:color="000000"/>
              <w:left w:val="single" w:sz="4" w:color="000000"/>
              <w:bottom w:val="single" w:sz="4" w:color="000000"/>
              <w:right w:val="nil"/>
            </w:tcBorders>
            <w:vAlign w:val="top"/>
          </w:tcPr>
          <w:p>
            <w:pPr>
              <w:spacing w:before="0" w:after="0" w:line="259" w:lineRule="auto"/>
              <w:ind w:left="108" w:right="0" w:firstLine="0"/>
              <w:jc w:val="left"/>
            </w:pPr>
            <w:r>
              <w:rPr>
                <w:rFonts w:cs="Arial" w:hAnsi="Arial" w:eastAsia="Arial" w:ascii="Arial"/>
                <w:b w:val="1"/>
                <w:sz w:val="22"/>
              </w:rPr>
              <w:t xml:space="preserve">Project title and ID (ATLAS Award ID): </w:t>
            </w:r>
            <w:r>
              <w:rPr>
                <w:rFonts w:cs="Arial" w:hAnsi="Arial" w:eastAsia="Arial" w:ascii="Arial"/>
                <w:b w:val="1"/>
              </w:rPr>
              <w:t xml:space="preserve">The</w:t>
            </w:r>
          </w:p>
        </w:tc>
        <w:tc>
          <w:tcPr>
            <w:tcW w:w="4379" w:type="dxa"/>
            <w:tcBorders>
              <w:top w:val="single" w:sz="4" w:color="000000"/>
              <w:left w:val="nil"/>
              <w:bottom w:val="nil"/>
              <w:right w:val="nil"/>
            </w:tcBorders>
            <w:shd w:val="clear" w:fill="e0e0e0"/>
            <w:vAlign w:val="top"/>
          </w:tcPr>
          <w:p>
            <w:pPr>
              <w:spacing w:before="0" w:after="0" w:line="259" w:lineRule="auto"/>
              <w:ind w:left="-55" w:right="-1" w:firstLine="0"/>
            </w:pPr>
            <w:r>
              <w:rPr>
                <w:rFonts w:cs="Arial" w:hAnsi="Arial" w:eastAsia="Arial" w:ascii="Arial"/>
                <w:b w:val="1"/>
              </w:rPr>
              <w:t xml:space="preserve"> Preparatory Support Project for DDR in Darfur </w:t>
            </w:r>
          </w:p>
        </w:tc>
        <w:tc>
          <w:tcPr>
            <w:tcW w:w="4582" w:type="dxa"/>
            <w:gridSpan w:val="2"/>
            <w:vMerge w:val="restart"/>
            <w:tcBorders>
              <w:top w:val="single" w:sz="4" w:color="000000"/>
              <w:left w:val="nil"/>
              <w:bottom w:val="single" w:sz="4" w:color="000000"/>
              <w:right w:val="nil"/>
            </w:tcBorders>
            <w:vAlign w:val="center"/>
          </w:tcPr>
          <w:p>
            <w:pPr>
              <w:bidi w:val="0"/>
              <w:spacing w:before="0" w:after="160" w:line="259" w:lineRule="auto"/>
              <w:ind w:left="0" w:right="0" w:firstLine="0"/>
              <w:jc w:val="left"/>
            </w:pPr>
          </w:p>
        </w:tc>
        <w:tc>
          <w:tcPr>
            <w:tcW w:w="1961" w:type="dxa"/>
            <w:vMerge w:val="restart"/>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r>
      <w:tr>
        <w:trPr>
          <w:trHeight w:val="66" w:hRule="atLeast"/>
        </w:trPr>
        <w:tc>
          <w:tcPr>
            <w:gridSpan w:val="2"/>
            <w:vMerge w:val="continue"/>
            <w:tcBorders>
              <w:top w:val="nil"/>
              <w:left w:val="single" w:sz="4" w:color="000000"/>
              <w:bottom w:val="single" w:sz="4" w:color="000000"/>
              <w:right w:val="nil"/>
            </w:tcBorders>
            <w:vAlign w:val="center"/>
          </w:tcPr>
          <w:p>
            <w:pPr>
              <w:bidi w:val="0"/>
              <w:spacing w:before="0" w:after="160" w:line="259" w:lineRule="auto"/>
              <w:ind w:left="0" w:right="0" w:firstLine="0"/>
              <w:jc w:val="left"/>
            </w:pPr>
          </w:p>
        </w:tc>
        <w:tc>
          <w:tcPr>
            <w:tcW w:w="4379" w:type="dxa"/>
            <w:tcBorders>
              <w:top w:val="nil"/>
              <w:left w:val="nil"/>
              <w:bottom w:val="single" w:sz="4" w:color="000000"/>
              <w:right w:val="nil"/>
            </w:tcBorders>
            <w:vAlign w:val="center"/>
          </w:tcPr>
          <w:p>
            <w:pPr>
              <w:bidi w:val="0"/>
              <w:spacing w:before="0" w:after="160" w:line="259" w:lineRule="auto"/>
              <w:ind w:left="0" w:right="0" w:firstLine="0"/>
              <w:jc w:val="left"/>
            </w:pPr>
          </w:p>
        </w:tc>
        <w:tc>
          <w:tcPr>
            <w:gridSpan w:val="2"/>
            <w:vMerge w:val="continue"/>
            <w:tcBorders>
              <w:top w:val="nil"/>
              <w:left w:val="nil"/>
              <w:bottom w:val="single" w:sz="4" w:color="000000"/>
              <w:right w:val="nil"/>
            </w:tcBorders>
            <w:vAlign w:val="center"/>
          </w:tcPr>
          <w:p>
            <w:pPr>
              <w:bidi w:val="0"/>
              <w:spacing w:before="0" w:after="160" w:line="259" w:lineRule="auto"/>
              <w:ind w:left="0" w:right="0" w:firstLine="0"/>
              <w:jc w:val="left"/>
            </w:pPr>
          </w:p>
        </w:tc>
        <w:tc>
          <w:tcPr>
            <w:vMerge w:val="continue"/>
            <w:tcBorders>
              <w:top w:val="nil"/>
              <w:left w:val="nil"/>
              <w:bottom w:val="single" w:sz="4" w:color="000000"/>
              <w:right w:val="single" w:sz="4" w:color="000000"/>
            </w:tcBorders>
            <w:vAlign w:val="top"/>
          </w:tcPr>
          <w:p>
            <w:pPr>
              <w:bidi w:val="0"/>
              <w:spacing w:before="0" w:after="160" w:line="259" w:lineRule="auto"/>
              <w:ind w:left="0" w:right="0" w:firstLine="0"/>
              <w:jc w:val="left"/>
            </w:pPr>
          </w:p>
        </w:tc>
      </w:tr>
      <w:tr>
        <w:trPr>
          <w:trHeight w:val="589" w:hRule="atLeast"/>
        </w:trPr>
        <w:tc>
          <w:tcPr>
            <w:tcW w:w="4396"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center"/>
            </w:pPr>
            <w:r>
              <w:rPr>
                <w:rFonts w:cs="Arial" w:hAnsi="Arial" w:eastAsia="Arial" w:ascii="Arial"/>
                <w:b w:val="1"/>
              </w:rPr>
              <w:t xml:space="preserve">INTENDED OUTPUTS </w:t>
            </w:r>
          </w:p>
          <w:p>
            <w:pPr>
              <w:spacing w:before="0" w:after="0" w:line="259" w:lineRule="auto"/>
              <w:ind w:left="54" w:right="0" w:firstLine="0"/>
              <w:jc w:val="center"/>
            </w:pPr>
            <w:r>
              <w:rPr>
                <w:rFonts w:cs="Arial" w:hAnsi="Arial" w:eastAsia="Arial" w:ascii="Arial"/>
                <w:b w:val="1"/>
              </w:rPr>
              <w:t xml:space="preserve"> </w:t>
            </w:r>
          </w:p>
        </w:tc>
        <w:tc>
          <w:tcPr>
            <w:tcW w:w="730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4" w:firstLine="0"/>
              <w:jc w:val="center"/>
            </w:pPr>
            <w:r>
              <w:rPr>
                <w:rFonts w:cs="Arial" w:hAnsi="Arial" w:eastAsia="Arial" w:ascii="Arial"/>
                <w:b w:val="1"/>
              </w:rPr>
              <w:t xml:space="preserve">INDICATIVE ACTIVITIES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rFonts w:cs="Arial" w:hAnsi="Arial" w:eastAsia="Arial" w:ascii="Arial"/>
                <w:b w:val="1"/>
              </w:rPr>
              <w:t xml:space="preserve">RESPONSIBLE PARTIES </w:t>
            </w:r>
          </w:p>
        </w:tc>
        <w:tc>
          <w:tcPr>
            <w:tcW w:w="1961" w:type="dxa"/>
            <w:tcBorders>
              <w:top w:val="single" w:sz="4" w:color="000000"/>
              <w:left w:val="single" w:sz="4" w:color="000000"/>
              <w:bottom w:val="single" w:sz="4" w:color="000000"/>
              <w:right w:val="single" w:sz="4" w:color="000000"/>
            </w:tcBorders>
            <w:vAlign w:val="top"/>
          </w:tcPr>
          <w:p>
            <w:pPr>
              <w:spacing w:before="0" w:after="0" w:line="259" w:lineRule="auto"/>
              <w:ind w:left="0" w:right="107" w:firstLine="0"/>
              <w:jc w:val="center"/>
            </w:pPr>
            <w:r>
              <w:rPr>
                <w:rFonts w:cs="Arial" w:hAnsi="Arial" w:eastAsia="Arial" w:ascii="Arial"/>
                <w:b w:val="1"/>
              </w:rPr>
              <w:t xml:space="preserve">INPUTS </w:t>
            </w:r>
          </w:p>
        </w:tc>
      </w:tr>
      <w:tr>
        <w:trPr>
          <w:trHeight w:val="4751" w:hRule="atLeast"/>
        </w:trPr>
        <w:tc>
          <w:tcPr>
            <w:tcW w:w="4396" w:type="dxa"/>
            <w:tcBorders>
              <w:top w:val="single" w:sz="4" w:color="000000"/>
              <w:left w:val="single" w:sz="4" w:color="000000"/>
              <w:bottom w:val="single" w:sz="4" w:color="000000"/>
              <w:right w:val="single" w:sz="4" w:color="000000"/>
            </w:tcBorders>
            <w:vAlign w:val="top"/>
          </w:tcPr>
          <w:p>
            <w:pPr>
              <w:spacing w:before="0" w:after="58" w:line="240" w:lineRule="auto"/>
              <w:ind w:left="108" w:right="107" w:firstLine="0"/>
            </w:pPr>
            <w:r>
              <w:rPr>
                <w:rFonts w:cs="Arial" w:hAnsi="Arial" w:eastAsia="Arial" w:ascii="Arial"/>
                <w:b w:val="1"/>
              </w:rPr>
              <w:t xml:space="preserve">Output 1. Strengthened capacity of National Stakeholders and improved institutional framework to implement nationally led Darfur DDR project </w:t>
            </w:r>
          </w:p>
          <w:p>
            <w:pPr>
              <w:spacing w:before="0" w:after="43" w:line="259" w:lineRule="auto"/>
              <w:ind w:left="108" w:right="0" w:firstLine="0"/>
              <w:jc w:val="left"/>
            </w:pPr>
            <w:r>
              <w:rPr/>
              <w:t xml:space="preserve">Baseline:  </w:t>
            </w:r>
          </w:p>
          <w:p>
            <w:pPr>
              <w:numPr>
                <w:ilvl w:val="0"/>
                <w:numId w:val="13"/>
              </w:numPr>
              <w:spacing w:before="0" w:after="62" w:line="240" w:lineRule="auto"/>
              <w:ind w:left="360" w:right="108" w:hanging="252"/>
            </w:pPr>
            <w:r>
              <w:rPr>
                <w:rFonts w:cs="Arial" w:hAnsi="Arial" w:eastAsia="Arial" w:ascii="Arial"/>
                <w:i w:val="1"/>
              </w:rPr>
              <w:t xml:space="preserve">No proper State DDR Offices and institutions established in Darfur regions. </w:t>
            </w:r>
          </w:p>
          <w:p>
            <w:pPr>
              <w:numPr>
                <w:ilvl w:val="0"/>
                <w:numId w:val="13"/>
              </w:numPr>
              <w:spacing w:before="0" w:after="58" w:line="241" w:lineRule="auto"/>
              <w:ind w:left="360" w:right="108" w:hanging="252"/>
            </w:pPr>
            <w:r>
              <w:rPr>
                <w:rFonts w:cs="Arial" w:hAnsi="Arial" w:eastAsia="Arial" w:ascii="Arial"/>
                <w:i w:val="1"/>
              </w:rPr>
              <w:t xml:space="preserve">Darfur-specific policies, strategy and operational capacity need to be tailored and strengthened</w:t>
            </w:r>
            <w:r>
              <w:rPr/>
              <w:t xml:space="preserve">. </w:t>
            </w:r>
          </w:p>
          <w:p>
            <w:pPr>
              <w:spacing w:before="0" w:after="43" w:line="259" w:lineRule="auto"/>
              <w:ind w:left="108" w:right="0" w:firstLine="0"/>
              <w:jc w:val="left"/>
            </w:pPr>
            <w:r>
              <w:rPr/>
              <w:t xml:space="preserve">Indicators:  </w:t>
            </w:r>
          </w:p>
          <w:p>
            <w:pPr>
              <w:spacing w:before="0" w:after="61" w:line="239" w:lineRule="auto"/>
              <w:ind w:left="108" w:right="0" w:firstLine="0"/>
            </w:pPr>
            <w:r>
              <w:rPr>
                <w:rFonts w:cs="Arial" w:hAnsi="Arial" w:eastAsia="Arial" w:ascii="Arial"/>
                <w:i w:val="1"/>
              </w:rPr>
              <w:t xml:space="preserve">(1.1.) Management system of Darfur DDR established and State Offices set up. </w:t>
            </w:r>
          </w:p>
          <w:p>
            <w:pPr>
              <w:spacing w:before="0" w:after="59" w:line="240" w:lineRule="auto"/>
              <w:ind w:left="108" w:right="0" w:firstLine="0"/>
            </w:pPr>
            <w:r>
              <w:rPr>
                <w:rFonts w:cs="Arial" w:hAnsi="Arial" w:eastAsia="Arial" w:ascii="Arial"/>
                <w:i w:val="1"/>
              </w:rPr>
              <w:t xml:space="preserve">(1.2.) Darfur DDR state offices have required vacancies filled, trained and deployed. </w:t>
            </w:r>
          </w:p>
          <w:p>
            <w:pPr>
              <w:spacing w:before="0" w:after="0" w:line="259" w:lineRule="auto"/>
              <w:ind w:left="108" w:right="108" w:firstLine="0"/>
            </w:pPr>
            <w:r>
              <w:rPr>
                <w:rFonts w:cs="Arial" w:hAnsi="Arial" w:eastAsia="Arial" w:ascii="Arial"/>
                <w:i w:val="1"/>
              </w:rPr>
              <w:t xml:space="preserve">(1.3.) Transportation, logistical and administrative capacities established to support State Offices.  </w:t>
            </w:r>
          </w:p>
        </w:tc>
        <w:tc>
          <w:tcPr>
            <w:tcW w:w="7304" w:type="dxa"/>
            <w:gridSpan w:val="3"/>
            <w:tcBorders>
              <w:top w:val="single" w:sz="4" w:color="000000"/>
              <w:left w:val="single" w:sz="4" w:color="000000"/>
              <w:bottom w:val="single" w:sz="4" w:color="000000"/>
              <w:right w:val="single" w:sz="4" w:color="000000"/>
            </w:tcBorders>
            <w:vAlign w:val="top"/>
          </w:tcPr>
          <w:p>
            <w:pPr>
              <w:spacing w:before="0" w:after="60" w:line="239" w:lineRule="auto"/>
              <w:ind w:left="107" w:right="0" w:firstLine="0"/>
            </w:pPr>
            <w:r>
              <w:rPr>
                <w:rFonts w:cs="Arial" w:hAnsi="Arial" w:eastAsia="Arial" w:ascii="Arial"/>
                <w:b w:val="1"/>
              </w:rPr>
              <w:t xml:space="preserve">Activity Result (1) Offices deployed within projected timeline, operational and implementing activities  </w:t>
            </w:r>
          </w:p>
          <w:p>
            <w:pPr>
              <w:spacing w:before="0" w:after="59" w:line="240" w:lineRule="auto"/>
              <w:ind w:left="107" w:right="0" w:firstLine="0"/>
            </w:pPr>
            <w:r>
              <w:rPr/>
              <w:t xml:space="preserve">Action1.1.: Three State Offices identified and established in El Fasher, El Geneina and Nyala </w:t>
            </w:r>
          </w:p>
          <w:p>
            <w:pPr>
              <w:spacing w:before="0" w:after="60" w:line="240" w:lineRule="auto"/>
              <w:ind w:left="107" w:right="0" w:firstLine="0"/>
              <w:jc w:val="left"/>
            </w:pPr>
            <w:r>
              <w:rPr/>
              <w:t xml:space="preserve">Action1.2.: Three state offices are equipped with required vehicles, furniture and office equipment </w:t>
            </w:r>
          </w:p>
          <w:p>
            <w:pPr>
              <w:spacing w:before="0" w:after="61" w:line="239" w:lineRule="auto"/>
              <w:ind w:left="107" w:right="0" w:firstLine="0"/>
              <w:jc w:val="left"/>
            </w:pPr>
            <w:r>
              <w:rPr/>
              <w:t xml:space="preserve">Action1.3.: Legislative and institutional frameworks for sustainable functioning of the three institutions developed and formalised  </w:t>
            </w:r>
          </w:p>
          <w:p>
            <w:pPr>
              <w:spacing w:before="0" w:after="59" w:line="240" w:lineRule="auto"/>
              <w:ind w:left="107" w:right="0" w:firstLine="0"/>
            </w:pPr>
            <w:r>
              <w:rPr/>
              <w:t xml:space="preserve">Action 1.4.: ToRs required for the DDR project staff agreed upon, developed  and institutionalized </w:t>
            </w:r>
          </w:p>
          <w:p>
            <w:pPr>
              <w:spacing w:before="0" w:after="60" w:line="240" w:lineRule="auto"/>
              <w:ind w:left="107" w:right="0" w:firstLine="0"/>
            </w:pPr>
            <w:r>
              <w:rPr/>
              <w:t xml:space="preserve">Action 1.5.: Recruitment and training of required staff on administrative functions and their deployment to state and branch offices </w:t>
            </w:r>
          </w:p>
          <w:p>
            <w:pPr>
              <w:spacing w:before="0" w:after="40" w:line="259" w:lineRule="auto"/>
              <w:ind w:left="107" w:right="0" w:firstLine="0"/>
              <w:jc w:val="left"/>
            </w:pPr>
            <w:r>
              <w:rPr>
                <w:rFonts w:cs="Arial" w:hAnsi="Arial" w:eastAsia="Arial" w:ascii="Arial"/>
                <w:b w:val="1"/>
              </w:rPr>
              <w:t xml:space="preserve">Activity Result (2) SOPs and operational guidelines developed  </w:t>
            </w:r>
          </w:p>
          <w:p>
            <w:pPr>
              <w:spacing w:before="0" w:after="61" w:line="239" w:lineRule="auto"/>
              <w:ind w:left="107" w:right="108" w:firstLine="0"/>
            </w:pPr>
            <w:r>
              <w:rPr/>
              <w:t xml:space="preserve">Action 2.1.: Joint (NSDDRC state offices and the UN) preparation and development of operational guidelines and SOPs for Darfur DDR implementation </w:t>
            </w:r>
          </w:p>
          <w:p>
            <w:pPr>
              <w:spacing w:before="0" w:after="43" w:line="259" w:lineRule="auto"/>
              <w:ind w:left="107" w:right="0" w:firstLine="0"/>
              <w:jc w:val="left"/>
            </w:pPr>
            <w:r>
              <w:rPr/>
              <w:t xml:space="preserve">Action 2.2.: Formalization/institutionalization of SOPs and operational guidelines </w:t>
            </w:r>
          </w:p>
          <w:p>
            <w:pPr>
              <w:spacing w:before="0" w:after="0" w:line="259" w:lineRule="auto"/>
              <w:ind w:left="107" w:right="0" w:firstLine="0"/>
              <w:jc w:val="left"/>
            </w:pPr>
            <w:r>
              <w:rPr>
                <w:rFonts w:cs="Arial" w:hAnsi="Arial" w:eastAsia="Arial" w:ascii="Arial"/>
                <w:b w:val="1"/>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NSDDRC and </w:t>
            </w:r>
          </w:p>
          <w:p>
            <w:pPr>
              <w:spacing w:before="0" w:after="42" w:line="259" w:lineRule="auto"/>
              <w:ind w:left="108" w:right="0" w:firstLine="0"/>
              <w:jc w:val="left"/>
            </w:pPr>
            <w:r>
              <w:rPr/>
              <w:t xml:space="preserve">UNDP jointly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0" w:line="259" w:lineRule="auto"/>
              <w:ind w:left="108" w:right="0" w:firstLine="0"/>
              <w:jc w:val="left"/>
            </w:pPr>
            <w:r>
              <w:rPr/>
              <w:t xml:space="preserve">NCDDRC and </w:t>
            </w:r>
          </w:p>
          <w:p>
            <w:pPr>
              <w:spacing w:before="0" w:after="0" w:line="259" w:lineRule="auto"/>
              <w:ind w:left="108" w:right="0" w:firstLine="0"/>
              <w:jc w:val="left"/>
            </w:pPr>
            <w:r>
              <w:rPr/>
              <w:t xml:space="preserve">UNDP jointly </w:t>
            </w:r>
          </w:p>
        </w:tc>
        <w:tc>
          <w:tcPr>
            <w:tcW w:w="1961" w:type="dxa"/>
            <w:tcBorders>
              <w:top w:val="single" w:sz="4" w:color="000000"/>
              <w:left w:val="single" w:sz="4" w:color="000000"/>
              <w:bottom w:val="single" w:sz="4" w:color="000000"/>
              <w:right w:val="single" w:sz="4" w:color="000000"/>
            </w:tcBorders>
            <w:vAlign w:val="top"/>
          </w:tcPr>
          <w:p>
            <w:pPr>
              <w:spacing w:before="0" w:after="40" w:line="259" w:lineRule="auto"/>
              <w:ind w:left="108" w:right="0" w:firstLine="0"/>
              <w:jc w:val="left"/>
            </w:pPr>
            <w:r>
              <w:rPr/>
              <w:t xml:space="preserve">Equipment </w:t>
            </w:r>
          </w:p>
          <w:p>
            <w:pPr>
              <w:spacing w:before="0" w:after="42" w:line="259" w:lineRule="auto"/>
              <w:ind w:left="108" w:right="0" w:firstLine="0"/>
              <w:jc w:val="left"/>
            </w:pPr>
            <w:r>
              <w:rPr/>
              <w:t xml:space="preserve">Procurement </w:t>
            </w:r>
          </w:p>
          <w:p>
            <w:pPr>
              <w:spacing w:before="0" w:after="0" w:line="259" w:lineRule="auto"/>
              <w:ind w:left="108" w:right="0" w:firstLine="0"/>
              <w:jc w:val="left"/>
            </w:pPr>
            <w:r>
              <w:rPr/>
              <w:t xml:space="preserve">Project </w:t>
            </w:r>
          </w:p>
          <w:p>
            <w:pPr>
              <w:spacing w:before="0" w:after="40" w:line="259" w:lineRule="auto"/>
              <w:ind w:left="108" w:right="0" w:firstLine="0"/>
              <w:jc w:val="left"/>
            </w:pPr>
            <w:r>
              <w:rPr/>
              <w:t xml:space="preserve">Management </w:t>
            </w:r>
          </w:p>
          <w:p>
            <w:pPr>
              <w:spacing w:before="0" w:after="42"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Staff </w:t>
            </w:r>
          </w:p>
          <w:p>
            <w:pPr>
              <w:spacing w:before="0" w:after="42" w:line="259" w:lineRule="auto"/>
              <w:ind w:left="108" w:right="0" w:firstLine="0"/>
              <w:jc w:val="left"/>
            </w:pPr>
            <w:r>
              <w:rPr/>
              <w:t xml:space="preserve">Training </w:t>
            </w:r>
          </w:p>
          <w:p>
            <w:pPr>
              <w:spacing w:before="0" w:after="42" w:line="259" w:lineRule="auto"/>
              <w:ind w:left="108" w:right="0" w:firstLine="0"/>
              <w:jc w:val="left"/>
            </w:pPr>
            <w:r>
              <w:rPr/>
              <w:t xml:space="preserve">Material </w:t>
            </w:r>
          </w:p>
          <w:p>
            <w:pPr>
              <w:spacing w:before="0" w:after="40" w:line="259" w:lineRule="auto"/>
              <w:ind w:left="108" w:right="0" w:firstLine="0"/>
              <w:jc w:val="left"/>
            </w:pPr>
            <w:r>
              <w:rPr/>
              <w:t xml:space="preserve"> </w:t>
            </w:r>
          </w:p>
          <w:p>
            <w:pPr>
              <w:spacing w:before="0" w:after="0" w:line="259" w:lineRule="auto"/>
              <w:ind w:left="108" w:right="0" w:firstLine="0"/>
              <w:jc w:val="left"/>
            </w:pPr>
            <w:r>
              <w:rPr/>
              <w:t xml:space="preserve"> </w:t>
            </w:r>
          </w:p>
        </w:tc>
      </w:tr>
    </w:tbl>
    <w:p>
      <w:pPr>
        <w:spacing w:before="0" w:after="0" w:line="259" w:lineRule="auto"/>
        <w:ind w:left="-864" w:right="15974" w:firstLine="0"/>
        <w:jc w:val="left"/>
      </w:pPr>
    </w:p>
    <w:tbl>
      <w:tblPr>
        <w:tblStyle w:val="TableGrid"/>
        <w:tblW w:w="15461" w:type="dxa"/>
        <w:tblInd w:w="0" w:type="dxa"/>
        <w:tblCellMar>
          <w:top w:w="9" w:type="dxa"/>
          <w:left w:w="107" w:type="dxa"/>
          <w:bottom w:w="0" w:type="dxa"/>
          <w:right w:w="0" w:type="dxa"/>
        </w:tblCellMar>
      </w:tblPr>
      <w:tblGrid>
        <w:gridCol w:w="4396"/>
        <w:gridCol w:w="7304"/>
        <w:gridCol w:w="1800"/>
        <w:gridCol w:w="1961"/>
      </w:tblGrid>
      <w:tr>
        <w:trPr>
          <w:trHeight w:val="2849" w:hRule="atLeast"/>
        </w:trPr>
        <w:tc>
          <w:tcPr>
            <w:tcW w:w="4396" w:type="dxa"/>
            <w:tcBorders>
              <w:top w:val="single" w:sz="4" w:color="000000"/>
              <w:left w:val="single" w:sz="4" w:color="000000"/>
              <w:bottom w:val="single" w:sz="4" w:color="000000"/>
              <w:right w:val="single" w:sz="4" w:color="000000"/>
            </w:tcBorders>
            <w:vAlign w:val="top"/>
          </w:tcPr>
          <w:p>
            <w:pPr>
              <w:spacing w:before="0" w:after="0" w:line="259" w:lineRule="auto"/>
              <w:ind w:left="1" w:right="109" w:firstLine="0"/>
            </w:pPr>
            <w:r>
              <w:rPr>
                <w:rFonts w:cs="Arial" w:hAnsi="Arial" w:eastAsia="Arial" w:ascii="Arial"/>
                <w:i w:val="1"/>
              </w:rPr>
              <w:t xml:space="preserve">(2.1) Capacities of National Institutions strengthened on key aspects of Darfur DDR (2.2.) Capacities of National Institutions strengthened on key principles of DDR (SNG, gender) </w:t>
            </w:r>
          </w:p>
        </w:tc>
        <w:tc>
          <w:tcPr>
            <w:tcW w:w="7304" w:type="dxa"/>
            <w:tcBorders>
              <w:top w:val="single" w:sz="4" w:color="000000"/>
              <w:left w:val="single" w:sz="4" w:color="000000"/>
              <w:bottom w:val="single" w:sz="4" w:color="000000"/>
              <w:right w:val="single" w:sz="4" w:color="000000"/>
            </w:tcBorders>
            <w:vAlign w:val="top"/>
          </w:tcPr>
          <w:p>
            <w:pPr>
              <w:spacing w:before="0" w:after="58" w:line="240" w:lineRule="auto"/>
              <w:ind w:left="0" w:right="0" w:firstLine="0"/>
            </w:pPr>
            <w:r>
              <w:rPr>
                <w:rFonts w:cs="Arial" w:hAnsi="Arial" w:eastAsia="Arial" w:ascii="Arial"/>
                <w:b w:val="1"/>
              </w:rPr>
              <w:t xml:space="preserve">Activity Result (3) Commission staff trained and applying training to the implementation of activities within Darfur DDR </w:t>
            </w:r>
          </w:p>
          <w:p>
            <w:pPr>
              <w:spacing w:before="0" w:after="60" w:line="240" w:lineRule="auto"/>
              <w:ind w:left="0" w:right="0" w:firstLine="0"/>
            </w:pPr>
            <w:r>
              <w:rPr/>
              <w:t xml:space="preserve">Action 3.1.: Develop capacity development strategy and training programme for required staff of the state offices </w:t>
            </w:r>
          </w:p>
          <w:p>
            <w:pPr>
              <w:spacing w:before="0" w:after="0" w:line="259" w:lineRule="auto"/>
              <w:ind w:left="0" w:right="107" w:firstLine="0"/>
            </w:pPr>
            <w:r>
              <w:rPr/>
              <w:t xml:space="preserve">Action 3.2.: Conduct a series of training and workshops for required staff in various programme areas including DDR, special needs groups, CSAC, gender, planning, M&amp;E, MIS, finance management and procurement, etc. </w:t>
            </w:r>
          </w:p>
        </w:tc>
        <w:tc>
          <w:tcPr>
            <w:tcW w:w="1800"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61" w:type="dxa"/>
            <w:tcBorders>
              <w:top w:val="single" w:sz="4" w:color="000000"/>
              <w:left w:val="single" w:sz="4" w:color="000000"/>
              <w:bottom w:val="single" w:sz="4" w:color="000000"/>
              <w:right w:val="single" w:sz="4" w:color="000000"/>
            </w:tcBorders>
            <w:vAlign w:val="top"/>
          </w:tcPr>
          <w:p>
            <w:pPr>
              <w:spacing w:before="0" w:after="42" w:line="259" w:lineRule="auto"/>
              <w:ind w:left="1" w:right="0" w:firstLine="0"/>
              <w:jc w:val="left"/>
            </w:pPr>
            <w:r>
              <w:rPr/>
              <w:t xml:space="preserve">Staff </w:t>
            </w:r>
          </w:p>
          <w:p>
            <w:pPr>
              <w:spacing w:before="0" w:after="40" w:line="259" w:lineRule="auto"/>
              <w:ind w:left="1" w:right="0" w:firstLine="0"/>
              <w:jc w:val="left"/>
            </w:pPr>
            <w:r>
              <w:rPr/>
              <w:t xml:space="preserve">Training </w:t>
            </w:r>
          </w:p>
          <w:p>
            <w:pPr>
              <w:spacing w:before="0" w:after="42" w:line="259" w:lineRule="auto"/>
              <w:ind w:left="1" w:right="0" w:firstLine="0"/>
              <w:jc w:val="left"/>
            </w:pPr>
            <w:r>
              <w:rPr/>
              <w:t xml:space="preserve">Travel </w:t>
            </w:r>
          </w:p>
          <w:p>
            <w:pPr>
              <w:spacing w:before="0" w:after="42" w:line="259" w:lineRule="auto"/>
              <w:ind w:left="1" w:right="0" w:firstLine="0"/>
              <w:jc w:val="left"/>
            </w:pPr>
            <w:r>
              <w:rPr/>
              <w:t xml:space="preserve">Consultants </w:t>
            </w:r>
          </w:p>
          <w:p>
            <w:pPr>
              <w:spacing w:before="0" w:after="40" w:line="259" w:lineRule="auto"/>
              <w:ind w:left="1" w:right="0" w:firstLine="0"/>
              <w:jc w:val="left"/>
            </w:pPr>
            <w:r>
              <w:rPr/>
              <w:t xml:space="preserve">Accommodation </w:t>
            </w:r>
          </w:p>
          <w:p>
            <w:pPr>
              <w:spacing w:before="0" w:after="42" w:line="259" w:lineRule="auto"/>
              <w:ind w:left="1" w:right="0" w:firstLine="0"/>
              <w:jc w:val="left"/>
            </w:pPr>
            <w:r>
              <w:rPr/>
              <w:t xml:space="preserve">Stationery </w:t>
            </w:r>
          </w:p>
          <w:p>
            <w:pPr>
              <w:spacing w:before="0" w:after="42" w:line="259" w:lineRule="auto"/>
              <w:ind w:left="1" w:right="0" w:firstLine="0"/>
              <w:jc w:val="left"/>
            </w:pPr>
            <w:r>
              <w:rPr/>
              <w:t xml:space="preserve">Material </w:t>
            </w:r>
          </w:p>
          <w:p>
            <w:pPr>
              <w:spacing w:before="0" w:after="40" w:line="259" w:lineRule="auto"/>
              <w:ind w:left="1" w:right="0" w:firstLine="0"/>
              <w:jc w:val="left"/>
            </w:pPr>
            <w:r>
              <w:rPr/>
              <w:t xml:space="preserve"> </w:t>
            </w:r>
          </w:p>
          <w:p>
            <w:pPr>
              <w:spacing w:before="0" w:after="0" w:line="259" w:lineRule="auto"/>
              <w:ind w:left="1" w:right="0" w:firstLine="0"/>
              <w:jc w:val="left"/>
            </w:pPr>
            <w:r>
              <w:rPr/>
              <w:t xml:space="preserve">Total 1,745,832 </w:t>
            </w:r>
          </w:p>
          <w:p>
            <w:pPr>
              <w:spacing w:before="0" w:after="0" w:line="259" w:lineRule="auto"/>
              <w:ind w:left="1" w:right="0" w:firstLine="0"/>
              <w:jc w:val="left"/>
            </w:pPr>
            <w:r>
              <w:rPr/>
              <w:t xml:space="preserve">USD </w:t>
            </w:r>
          </w:p>
        </w:tc>
      </w:tr>
      <w:tr>
        <w:trPr>
          <w:trHeight w:val="4110" w:hRule="atLeast"/>
        </w:trPr>
        <w:tc>
          <w:tcPr>
            <w:tcW w:w="439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b w:val="1"/>
              </w:rPr>
              <w:t xml:space="preserve">Output 2. DDR public information and </w:t>
            </w:r>
          </w:p>
          <w:p>
            <w:pPr>
              <w:tabs>
                <w:tab w:val="center" w:pos="607"/>
                <w:tab w:val="center" w:pos="2124"/>
                <w:tab w:val="center" w:pos="3169"/>
                <w:tab w:val="center" w:pos="3963"/>
              </w:tabs>
              <w:spacing w:before="0" w:after="0" w:line="259" w:lineRule="auto"/>
              <w:ind w:left="0" w:right="0" w:firstLine="0"/>
              <w:jc w:val="left"/>
            </w:pPr>
            <w:r>
              <w:rPr>
                <w:rFonts w:cs="Calibri" w:hAnsi="Calibri" w:eastAsia="Calibri" w:ascii="Calibri"/>
                <w:sz w:val="22"/>
              </w:rPr>
              <w:t xml:space="preserve">	</w:t>
            </w:r>
            <w:r>
              <w:rPr>
                <w:rFonts w:cs="Arial" w:hAnsi="Arial" w:eastAsia="Arial" w:ascii="Arial"/>
                <w:b w:val="1"/>
              </w:rPr>
              <w:t xml:space="preserve">sensitization 	campaign 	for 	DDR  </w:t>
            </w:r>
          </w:p>
          <w:p>
            <w:pPr>
              <w:spacing w:before="0" w:after="40" w:line="259" w:lineRule="auto"/>
              <w:ind w:left="1" w:right="0" w:firstLine="0"/>
              <w:jc w:val="left"/>
            </w:pPr>
            <w:r>
              <w:rPr>
                <w:rFonts w:cs="Arial" w:hAnsi="Arial" w:eastAsia="Arial" w:ascii="Arial"/>
                <w:b w:val="1"/>
              </w:rPr>
              <w:t xml:space="preserve">implemented in three Darfur states </w:t>
            </w:r>
          </w:p>
          <w:p>
            <w:pPr>
              <w:spacing w:before="0" w:after="42" w:line="259" w:lineRule="auto"/>
              <w:ind w:left="1" w:right="0" w:firstLine="0"/>
              <w:jc w:val="left"/>
            </w:pPr>
            <w:r>
              <w:rPr/>
              <w:t xml:space="preserve">Baseline:  </w:t>
            </w:r>
          </w:p>
          <w:p>
            <w:pPr>
              <w:spacing w:before="0" w:after="59" w:line="240" w:lineRule="auto"/>
              <w:ind w:left="1" w:right="0" w:firstLine="0"/>
              <w:jc w:val="left"/>
            </w:pPr>
            <w:r>
              <w:rPr>
                <w:rFonts w:cs="Arial" w:hAnsi="Arial" w:eastAsia="Arial" w:ascii="Arial"/>
                <w:i w:val="1"/>
              </w:rPr>
              <w:t xml:space="preserve">DDR concept and activities are fairly unknown at the State governments level as well as population. DPA, particularly its security components, is also mostly ignored. </w:t>
            </w:r>
          </w:p>
          <w:p>
            <w:pPr>
              <w:spacing w:before="0" w:after="43" w:line="259" w:lineRule="auto"/>
              <w:ind w:left="1" w:right="0" w:firstLine="0"/>
              <w:jc w:val="left"/>
            </w:pPr>
            <w:r>
              <w:rPr/>
              <w:t xml:space="preserve">Indicators:  </w:t>
            </w:r>
          </w:p>
          <w:p>
            <w:pPr>
              <w:numPr>
                <w:ilvl w:val="0"/>
                <w:numId w:val="14"/>
              </w:numPr>
              <w:spacing w:before="0" w:after="61" w:line="239" w:lineRule="auto"/>
              <w:ind w:left="1" w:right="109" w:firstLine="0"/>
            </w:pPr>
            <w:r>
              <w:rPr>
                <w:rFonts w:cs="Arial" w:hAnsi="Arial" w:eastAsia="Arial" w:ascii="Arial"/>
                <w:i w:val="1"/>
              </w:rPr>
              <w:t xml:space="preserve">DDR concept and activities well-informed at the State government level and their proactive support to the project provided. </w:t>
            </w:r>
          </w:p>
          <w:p>
            <w:pPr>
              <w:numPr>
                <w:ilvl w:val="0"/>
                <w:numId w:val="14"/>
              </w:numPr>
              <w:spacing w:before="0" w:after="59" w:line="239" w:lineRule="auto"/>
              <w:ind w:left="1" w:right="109" w:firstLine="0"/>
            </w:pPr>
            <w:r>
              <w:rPr>
                <w:rFonts w:cs="Arial" w:hAnsi="Arial" w:eastAsia="Arial" w:ascii="Arial"/>
                <w:i w:val="1"/>
              </w:rPr>
              <w:t xml:space="preserve">DDR concept and activities well-informed in the population and their proactive support to the project provided. </w:t>
            </w:r>
          </w:p>
          <w:p>
            <w:pPr>
              <w:spacing w:before="0" w:after="0" w:line="259" w:lineRule="auto"/>
              <w:ind w:left="1" w:right="0" w:firstLine="0"/>
              <w:jc w:val="left"/>
            </w:pPr>
            <w:r>
              <w:rPr/>
              <w:t xml:space="preserve">  </w:t>
            </w:r>
          </w:p>
        </w:tc>
        <w:tc>
          <w:tcPr>
            <w:tcW w:w="7304" w:type="dxa"/>
            <w:tcBorders>
              <w:top w:val="single" w:sz="4" w:color="000000"/>
              <w:left w:val="single" w:sz="4" w:color="000000"/>
              <w:bottom w:val="single" w:sz="4" w:color="000000"/>
              <w:right w:val="single" w:sz="4" w:color="000000"/>
            </w:tcBorders>
            <w:vAlign w:val="top"/>
          </w:tcPr>
          <w:p>
            <w:pPr>
              <w:spacing w:before="0" w:after="58" w:line="240" w:lineRule="auto"/>
              <w:ind w:left="0" w:right="108" w:firstLine="0"/>
            </w:pPr>
            <w:r>
              <w:rPr>
                <w:rFonts w:cs="Arial" w:hAnsi="Arial" w:eastAsia="Arial" w:ascii="Arial"/>
                <w:b w:val="1"/>
              </w:rPr>
              <w:t xml:space="preserve">Activity Result (1) State governments and leaders of communities engaged into comprehensive DDR design and realized that a weapon-free society is more conducive to stability and. DDR receives political support from regional figures. </w:t>
            </w:r>
          </w:p>
          <w:p>
            <w:pPr>
              <w:spacing w:before="0" w:after="60" w:line="240" w:lineRule="auto"/>
              <w:ind w:left="0" w:right="0" w:firstLine="0"/>
            </w:pPr>
            <w:r>
              <w:rPr/>
              <w:t xml:space="preserve">Action1.1.: Conduct a series of workshops on DDR and CSAC Sensitisation Campaign at the National and State DDR commission levels </w:t>
            </w:r>
          </w:p>
          <w:p>
            <w:pPr>
              <w:spacing w:before="0" w:after="62" w:line="239" w:lineRule="auto"/>
              <w:ind w:left="0" w:right="0" w:firstLine="0"/>
            </w:pPr>
            <w:r>
              <w:rPr/>
              <w:t xml:space="preserve">Action1.2.: Conduct a series of workshops on DDR and CSAC Sensitisation Campaign at the community level  </w:t>
            </w:r>
          </w:p>
          <w:p>
            <w:pPr>
              <w:spacing w:before="0" w:after="58" w:line="240" w:lineRule="auto"/>
              <w:ind w:left="0" w:right="0" w:firstLine="0"/>
            </w:pPr>
            <w:r>
              <w:rPr>
                <w:rFonts w:cs="Arial" w:hAnsi="Arial" w:eastAsia="Arial" w:ascii="Arial"/>
                <w:b w:val="1"/>
              </w:rPr>
              <w:t xml:space="preserve">Activity Result (2) Population including armed groups well-informed about DDR. Armed groups encouraged to enter DDR process.  </w:t>
            </w:r>
          </w:p>
          <w:p>
            <w:pPr>
              <w:spacing w:before="0" w:after="60" w:line="240" w:lineRule="auto"/>
              <w:ind w:left="0" w:right="107" w:firstLine="0"/>
            </w:pPr>
            <w:r>
              <w:rPr/>
              <w:t xml:space="preserve">Action 2.1.: Initiate and conduct a series of public information and sensitization events based on outreach strategy developed, including design and broadcast a series of radio programmes on DDR and CSAC Sensitisation in state capitals and communities. </w:t>
            </w:r>
          </w:p>
          <w:p>
            <w:pPr>
              <w:spacing w:before="0" w:after="0" w:line="259" w:lineRule="auto"/>
              <w:ind w:left="0" w:right="0" w:firstLine="0"/>
            </w:pPr>
            <w:r>
              <w:rPr/>
              <w:t xml:space="preserve">Action 2.2.: Lobbying and facilitating a dialogue between the key players of the process </w:t>
            </w:r>
          </w:p>
        </w:tc>
        <w:tc>
          <w:tcPr>
            <w:tcW w:w="1800"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t xml:space="preserve"> </w:t>
            </w:r>
          </w:p>
          <w:p>
            <w:pPr>
              <w:spacing w:before="0" w:after="42" w:line="259" w:lineRule="auto"/>
              <w:ind w:left="1" w:right="0" w:firstLine="0"/>
              <w:jc w:val="left"/>
            </w:pPr>
            <w:r>
              <w:rPr/>
              <w:t xml:space="preserve">NCDDRS </w:t>
            </w:r>
          </w:p>
          <w:p>
            <w:pPr>
              <w:spacing w:before="0" w:after="0" w:line="259" w:lineRule="auto"/>
              <w:ind w:left="1" w:right="0" w:firstLine="0"/>
              <w:jc w:val="left"/>
            </w:pPr>
            <w:r>
              <w:rPr/>
              <w:t xml:space="preserve">and UNDP jointly </w:t>
            </w:r>
          </w:p>
        </w:tc>
        <w:tc>
          <w:tcPr>
            <w:tcW w:w="1961"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t xml:space="preserve">Staff </w:t>
            </w:r>
          </w:p>
          <w:p>
            <w:pPr>
              <w:spacing w:before="0" w:after="42" w:line="259" w:lineRule="auto"/>
              <w:ind w:left="1" w:right="0" w:firstLine="0"/>
              <w:jc w:val="left"/>
            </w:pPr>
            <w:r>
              <w:rPr/>
              <w:t xml:space="preserve">Workshop </w:t>
            </w:r>
          </w:p>
          <w:p>
            <w:pPr>
              <w:spacing w:before="0" w:after="42" w:line="259" w:lineRule="auto"/>
              <w:ind w:left="1" w:right="0" w:firstLine="0"/>
              <w:jc w:val="left"/>
            </w:pPr>
            <w:r>
              <w:rPr/>
              <w:t xml:space="preserve">Material </w:t>
            </w:r>
          </w:p>
          <w:p>
            <w:pPr>
              <w:spacing w:before="0" w:after="40" w:line="259" w:lineRule="auto"/>
              <w:ind w:left="1" w:right="0" w:firstLine="0"/>
              <w:jc w:val="left"/>
            </w:pPr>
            <w:r>
              <w:rPr/>
              <w:t xml:space="preserve">Venue </w:t>
            </w:r>
          </w:p>
          <w:p>
            <w:pPr>
              <w:spacing w:before="0" w:after="42" w:line="259" w:lineRule="auto"/>
              <w:ind w:left="1" w:right="0" w:firstLine="0"/>
              <w:jc w:val="left"/>
            </w:pPr>
            <w:r>
              <w:rPr/>
              <w:t xml:space="preserve"> </w:t>
            </w:r>
          </w:p>
          <w:p>
            <w:pPr>
              <w:spacing w:before="0" w:after="42" w:line="259" w:lineRule="auto"/>
              <w:ind w:left="1" w:right="0" w:firstLine="0"/>
              <w:jc w:val="left"/>
            </w:pPr>
            <w:r>
              <w:rPr/>
              <w:t xml:space="preserve"> </w:t>
            </w:r>
          </w:p>
          <w:p>
            <w:pPr>
              <w:spacing w:before="0" w:after="40" w:line="259" w:lineRule="auto"/>
              <w:ind w:left="1" w:right="0" w:firstLine="0"/>
              <w:jc w:val="left"/>
            </w:pPr>
            <w:r>
              <w:rPr/>
              <w:t xml:space="preserve"> </w:t>
            </w:r>
          </w:p>
          <w:p>
            <w:pPr>
              <w:spacing w:before="0" w:after="42" w:line="259" w:lineRule="auto"/>
              <w:ind w:left="1" w:right="0" w:firstLine="0"/>
              <w:jc w:val="left"/>
            </w:pPr>
            <w:r>
              <w:rPr/>
              <w:t xml:space="preserve">Staff </w:t>
            </w:r>
          </w:p>
          <w:p>
            <w:pPr>
              <w:spacing w:before="0" w:after="42" w:line="259" w:lineRule="auto"/>
              <w:ind w:left="1" w:right="0" w:firstLine="0"/>
              <w:jc w:val="left"/>
            </w:pPr>
            <w:r>
              <w:rPr/>
              <w:t xml:space="preserve">Material </w:t>
            </w:r>
          </w:p>
          <w:p>
            <w:pPr>
              <w:spacing w:before="0" w:after="40" w:line="259" w:lineRule="auto"/>
              <w:ind w:left="1" w:right="0" w:firstLine="0"/>
              <w:jc w:val="left"/>
            </w:pPr>
            <w:r>
              <w:rPr/>
              <w:t xml:space="preserve">Workshop </w:t>
            </w:r>
          </w:p>
          <w:p>
            <w:pPr>
              <w:spacing w:before="0" w:after="42" w:line="259" w:lineRule="auto"/>
              <w:ind w:left="1" w:right="0" w:firstLine="0"/>
              <w:jc w:val="left"/>
            </w:pPr>
            <w:r>
              <w:rPr/>
              <w:t xml:space="preserve">Travel </w:t>
            </w:r>
          </w:p>
          <w:p>
            <w:pPr>
              <w:spacing w:before="0" w:after="42" w:line="259" w:lineRule="auto"/>
              <w:ind w:left="1" w:right="0" w:firstLine="0"/>
              <w:jc w:val="left"/>
            </w:pPr>
            <w:r>
              <w:rPr/>
              <w:t xml:space="preserve"> </w:t>
            </w:r>
          </w:p>
          <w:p>
            <w:pPr>
              <w:spacing w:before="0" w:after="40" w:line="259" w:lineRule="auto"/>
              <w:ind w:left="1" w:right="0" w:firstLine="0"/>
              <w:jc w:val="left"/>
            </w:pPr>
            <w:r>
              <w:rPr/>
              <w:t xml:space="preserve">Total 509,052 USD </w:t>
            </w:r>
          </w:p>
          <w:p>
            <w:pPr>
              <w:spacing w:before="0" w:after="0" w:line="259" w:lineRule="auto"/>
              <w:ind w:left="1" w:right="0" w:firstLine="0"/>
              <w:jc w:val="left"/>
            </w:pPr>
            <w:r>
              <w:rPr/>
              <w:t xml:space="preserve"> </w:t>
            </w:r>
          </w:p>
        </w:tc>
      </w:tr>
      <w:tr>
        <w:trPr>
          <w:trHeight w:val="2040" w:hRule="atLeast"/>
        </w:trPr>
        <w:tc>
          <w:tcPr>
            <w:tcW w:w="4396" w:type="dxa"/>
            <w:tcBorders>
              <w:top w:val="single" w:sz="4" w:color="000000"/>
              <w:left w:val="single" w:sz="4" w:color="000000"/>
              <w:bottom w:val="single" w:sz="4" w:color="000000"/>
              <w:right w:val="single" w:sz="4" w:color="000000"/>
            </w:tcBorders>
            <w:vAlign w:val="top"/>
          </w:tcPr>
          <w:p>
            <w:pPr>
              <w:spacing w:before="0" w:after="60" w:line="239" w:lineRule="auto"/>
              <w:ind w:left="1" w:right="107" w:firstLine="0"/>
            </w:pPr>
            <w:r>
              <w:rPr>
                <w:rFonts w:cs="Arial" w:hAnsi="Arial" w:eastAsia="Arial" w:ascii="Arial"/>
                <w:b w:val="1"/>
              </w:rPr>
              <w:t xml:space="preserve">Output 3. Action Plan for the full-fledged Darfur DDR programme agreed upon and designed in a participatory manner with all key stakeholders involved </w:t>
            </w:r>
          </w:p>
          <w:p>
            <w:pPr>
              <w:spacing w:before="0" w:after="43" w:line="259" w:lineRule="auto"/>
              <w:ind w:left="1" w:right="0" w:firstLine="0"/>
              <w:jc w:val="left"/>
            </w:pPr>
            <w:r>
              <w:rPr/>
              <w:t xml:space="preserve">Baseline:  </w:t>
            </w:r>
          </w:p>
          <w:p>
            <w:pPr>
              <w:spacing w:before="0" w:after="0" w:line="259" w:lineRule="auto"/>
              <w:ind w:left="1" w:right="107" w:firstLine="0"/>
            </w:pPr>
            <w:r>
              <w:rPr>
                <w:rFonts w:cs="Arial" w:hAnsi="Arial" w:eastAsia="Arial" w:ascii="Arial"/>
                <w:i w:val="1"/>
              </w:rPr>
              <w:t xml:space="preserve">The Darfur Peace Agreement indicates start of full-fledged DDR following completion of a comprehensive ceasefire and outlines </w:t>
            </w:r>
          </w:p>
        </w:tc>
        <w:tc>
          <w:tcPr>
            <w:tcW w:w="7304" w:type="dxa"/>
            <w:tcBorders>
              <w:top w:val="single" w:sz="4" w:color="000000"/>
              <w:left w:val="single" w:sz="4" w:color="000000"/>
              <w:bottom w:val="single" w:sz="4" w:color="000000"/>
              <w:right w:val="single" w:sz="4" w:color="000000"/>
            </w:tcBorders>
            <w:vAlign w:val="top"/>
          </w:tcPr>
          <w:p>
            <w:pPr>
              <w:spacing w:before="0" w:after="60" w:line="239" w:lineRule="auto"/>
              <w:ind w:left="0" w:right="0" w:firstLine="0"/>
            </w:pPr>
            <w:r>
              <w:rPr>
                <w:rFonts w:cs="Arial" w:hAnsi="Arial" w:eastAsia="Arial" w:ascii="Arial"/>
                <w:b w:val="1"/>
              </w:rPr>
              <w:t xml:space="preserve">Activity result 1: A comprehensive participatory consultative process to design Darfur DDR programme concept, strategy and workplan facilitated </w:t>
            </w:r>
          </w:p>
          <w:p>
            <w:pPr>
              <w:spacing w:before="0" w:after="61" w:line="239" w:lineRule="auto"/>
              <w:ind w:left="0" w:right="108" w:firstLine="0"/>
            </w:pPr>
            <w:r>
              <w:rPr/>
              <w:t xml:space="preserve">Action 1.1.: Conduct consultations and discussions with institutions and key partners on policy development, drafting of policy and joint meetings to review and agree on policies and implementation strategies </w:t>
            </w:r>
          </w:p>
          <w:p>
            <w:pPr>
              <w:spacing w:before="0" w:after="61" w:line="239" w:lineRule="auto"/>
              <w:ind w:left="0" w:right="0" w:firstLine="0"/>
            </w:pPr>
            <w:r>
              <w:rPr/>
              <w:t xml:space="preserve">Action 1.2.: Develop CSAC strategy and project document under the Darfur DDR framework with linkage to National CSAC Strategy of NSDDRC </w:t>
            </w:r>
          </w:p>
          <w:p>
            <w:pPr>
              <w:spacing w:before="0" w:after="0" w:line="259" w:lineRule="auto"/>
              <w:ind w:left="0" w:right="0" w:firstLine="0"/>
              <w:jc w:val="left"/>
            </w:pPr>
            <w:r>
              <w:rPr/>
              <w:t xml:space="preserve">Action 1.3..: Key programme tools, including baseline surveys, reintegration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NSDDRC and </w:t>
            </w:r>
          </w:p>
          <w:p>
            <w:pPr>
              <w:spacing w:before="0" w:after="0" w:line="259" w:lineRule="auto"/>
              <w:ind w:left="1" w:right="0" w:firstLine="0"/>
              <w:jc w:val="left"/>
            </w:pPr>
            <w:r>
              <w:rPr/>
              <w:t xml:space="preserve">UNDP jointly </w:t>
            </w:r>
          </w:p>
        </w:tc>
        <w:tc>
          <w:tcPr>
            <w:tcW w:w="1961"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t xml:space="preserve">Travel </w:t>
            </w:r>
          </w:p>
          <w:p>
            <w:pPr>
              <w:spacing w:before="0" w:after="42" w:line="259" w:lineRule="auto"/>
              <w:ind w:left="1" w:right="0" w:firstLine="0"/>
              <w:jc w:val="left"/>
            </w:pPr>
            <w:r>
              <w:rPr/>
              <w:t xml:space="preserve">Staff </w:t>
            </w:r>
          </w:p>
          <w:p>
            <w:pPr>
              <w:spacing w:before="0" w:after="40" w:line="259" w:lineRule="auto"/>
              <w:ind w:left="1" w:right="0" w:firstLine="0"/>
              <w:jc w:val="left"/>
            </w:pPr>
            <w:r>
              <w:rPr/>
              <w:t xml:space="preserve">Survey </w:t>
            </w:r>
          </w:p>
          <w:p>
            <w:pPr>
              <w:spacing w:before="0" w:after="42" w:line="259" w:lineRule="auto"/>
              <w:ind w:left="1" w:right="0" w:firstLine="0"/>
              <w:jc w:val="left"/>
            </w:pPr>
            <w:r>
              <w:rPr/>
              <w:t xml:space="preserve">Material </w:t>
            </w:r>
          </w:p>
          <w:p>
            <w:pPr>
              <w:spacing w:before="0" w:after="42" w:line="259" w:lineRule="auto"/>
              <w:ind w:left="1" w:right="0" w:firstLine="0"/>
              <w:jc w:val="left"/>
            </w:pPr>
            <w:r>
              <w:rPr/>
              <w:t xml:space="preserve">Consultants </w:t>
            </w:r>
          </w:p>
          <w:p>
            <w:pPr>
              <w:spacing w:before="0" w:after="40" w:line="259" w:lineRule="auto"/>
              <w:ind w:left="1" w:right="0" w:firstLine="0"/>
              <w:jc w:val="left"/>
            </w:pPr>
            <w:r>
              <w:rPr/>
              <w:t xml:space="preserve"> </w:t>
            </w:r>
          </w:p>
          <w:p>
            <w:pPr>
              <w:spacing w:before="0" w:after="0" w:line="259" w:lineRule="auto"/>
              <w:ind w:left="1" w:right="0" w:firstLine="0"/>
              <w:jc w:val="left"/>
            </w:pPr>
            <w:r>
              <w:rPr/>
              <w:t xml:space="preserve"> </w:t>
            </w:r>
          </w:p>
        </w:tc>
      </w:tr>
    </w:tbl>
    <w:tbl>
      <w:tblPr>
        <w:tblStyle w:val="TableGrid"/>
        <w:tblW w:w="15461" w:type="dxa"/>
        <w:tblInd w:w="0" w:type="dxa"/>
        <w:tblCellMar>
          <w:top w:w="9" w:type="dxa"/>
          <w:left w:w="107" w:type="dxa"/>
          <w:bottom w:w="0" w:type="dxa"/>
          <w:right w:w="0" w:type="dxa"/>
        </w:tblCellMar>
      </w:tblPr>
      <w:tblGrid>
        <w:gridCol w:w="4396"/>
        <w:gridCol w:w="7304"/>
        <w:gridCol w:w="1800"/>
        <w:gridCol w:w="1961"/>
      </w:tblGrid>
      <w:tr>
        <w:trPr>
          <w:trHeight w:val="1340" w:hRule="atLeast"/>
        </w:trPr>
        <w:tc>
          <w:tcPr>
            <w:tcW w:w="4396"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rFonts w:cs="Arial" w:hAnsi="Arial" w:eastAsia="Arial" w:ascii="Arial"/>
                <w:i w:val="1"/>
              </w:rPr>
              <w:t xml:space="preserve">principles for DDR in line with IDDRS   </w:t>
            </w:r>
          </w:p>
          <w:p>
            <w:pPr>
              <w:spacing w:before="0" w:after="42" w:line="259" w:lineRule="auto"/>
              <w:ind w:left="1" w:right="0" w:firstLine="0"/>
              <w:jc w:val="left"/>
            </w:pPr>
            <w:r>
              <w:rPr/>
              <w:t xml:space="preserve">Indicator:  </w:t>
            </w:r>
          </w:p>
          <w:p>
            <w:pPr>
              <w:spacing w:before="0" w:after="0" w:line="259" w:lineRule="auto"/>
              <w:ind w:left="1" w:right="55" w:firstLine="0"/>
            </w:pPr>
            <w:r>
              <w:rPr>
                <w:rFonts w:cs="Arial" w:hAnsi="Arial" w:eastAsia="Arial" w:ascii="Arial"/>
                <w:i w:val="1"/>
              </w:rPr>
              <w:t xml:space="preserve">The main phase DDR programme concept, document and workplan including financial and managerial arrangements formalized </w:t>
            </w:r>
          </w:p>
        </w:tc>
        <w:tc>
          <w:tcPr>
            <w:tcW w:w="7304" w:type="dxa"/>
            <w:tcBorders>
              <w:top w:val="single" w:sz="4" w:color="000000"/>
              <w:left w:val="single" w:sz="4" w:color="000000"/>
              <w:bottom w:val="single" w:sz="4" w:color="000000"/>
              <w:right w:val="single" w:sz="4" w:color="000000"/>
            </w:tcBorders>
            <w:vAlign w:val="top"/>
          </w:tcPr>
          <w:p>
            <w:pPr>
              <w:spacing w:before="0" w:after="59" w:line="240" w:lineRule="auto"/>
              <w:ind w:left="0" w:right="0" w:firstLine="0"/>
            </w:pPr>
            <w:r>
              <w:rPr/>
              <w:t xml:space="preserve">mapping exercises and MIS, are jointly developed and implemented by national counterparts and UNDP  </w:t>
            </w:r>
          </w:p>
          <w:p>
            <w:pPr>
              <w:spacing w:before="0" w:after="60" w:line="240" w:lineRule="auto"/>
              <w:ind w:left="0" w:right="0" w:firstLine="0"/>
            </w:pPr>
            <w:r>
              <w:rPr/>
              <w:t xml:space="preserve">Action 1.4.: Draft a full-fledged project document for  Darfur DDR and submit for endorsement to the NSDDRC </w:t>
            </w:r>
          </w:p>
          <w:p>
            <w:pPr>
              <w:spacing w:before="0" w:after="0" w:line="259" w:lineRule="auto"/>
              <w:ind w:left="0" w:right="0" w:firstLine="0"/>
              <w:jc w:val="left"/>
            </w:pPr>
            <w:r>
              <w:rPr/>
              <w:t xml:space="preserve"> </w:t>
            </w:r>
          </w:p>
        </w:tc>
        <w:tc>
          <w:tcPr>
            <w:tcW w:w="180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61"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Total 914,616 USD </w:t>
            </w:r>
          </w:p>
        </w:tc>
      </w:tr>
    </w:tbl>
    <w:p>
      <w:pPr>
        <w:pStyle w:val="normal"/>
        <w:spacing w:before="0" w:after="52" w:line="249" w:lineRule="auto"/>
        <w:ind w:left="10" w:right="42"/>
      </w:pPr>
      <w:r>
        <w:rPr/>
        <w:t xml:space="preserve">- BCPR seed funding assistance (300,000 USD) would be utilized for “Output 1. Strengthened capacity of national stakeholders and improved institutional framework to implement nationally led Darfur DDR project” during the entire period of 18 months.</w:t>
      </w:r>
      <w:r>
        <w:rPr>
          <w:sz w:val="22"/>
        </w:rPr>
        <w:t xml:space="preserve"> </w:t>
      </w:r>
    </w:p>
    <w:p>
      <w:pPr>
        <w:spacing w:before="0" w:after="0" w:line="259" w:lineRule="auto"/>
        <w:ind w:left="0" w:right="0" w:firstLine="0"/>
        <w:jc w:val="left"/>
      </w:pPr>
      <w:r>
        <w:rPr>
          <w:sz w:val="22"/>
        </w:rPr>
        <w:t xml:space="preserve"> </w:t>
      </w:r>
    </w:p>
    <w:p>
      <w:pPr>
        <w:spacing w:before="0" w:after="59" w:line="259" w:lineRule="auto"/>
        <w:ind w:left="-30" w:right="-29" w:firstLine="0"/>
        <w:jc w:val="left"/>
      </w:pPr>
      <w:r>
        <w:rPr>
          <w:rFonts w:cs="Calibri" w:hAnsi="Calibri" w:eastAsia="Calibri" w:ascii="Calibri"/>
          <w:sz w:val="22"/>
        </w:rPr>
        <w:drawing>
          <wp:inline distT="0" distB="0" distL="0" distR="0">
            <wp:extent cx="9632442" cy="6096"/>
            <wp:docPr id="47918" name="Group 47918"/>
            <wp:cNvGraphicFramePr/>
            <a:graphic>
              <a:graphicData uri="http://schemas.microsoft.com/office/word/2010/wordprocessingGroup">
                <wpg:wgp>
                  <wpg:cNvGrpSpPr/>
                  <wpg:grpSpPr>
                    <a:xfrm>
                      <a:off x="0" y="0"/>
                      <a:ext cx="9632442" cy="6096"/>
                      <a:chOff x="0" y="0"/>
                      <a:chExt cx="9632442" cy="6096"/>
                    </a:xfrm>
                  </wpg:grpSpPr>
                  <wps:wsp>
                    <wps:cNvPr id="62679" name="Shape 62679"/>
                    <wps:cNvSpPr/>
                    <wps:spPr>
                      <a:xfrm>
                        <a:off x="0" y="0"/>
                        <a:ext cx="9632442" cy="9144"/>
                      </a:xfrm>
                      <a:custGeom>
                        <a:pathLst>
                          <a:path w="9632442" h="9144">
                            <a:moveTo>
                              <a:pt x="0" y="0"/>
                            </a:moveTo>
                            <a:lnTo>
                              <a:pt x="9632442" y="0"/>
                            </a:lnTo>
                            <a:lnTo>
                              <a:pt x="9632442"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1873"/>
        </w:tabs>
        <w:spacing w:before="0" w:after="117" w:line="259" w:lineRule="auto"/>
        <w:ind w:left="-15" w:firstLine="0"/>
      </w:pPr>
      <w:r>
        <w:rPr>
          <w:sz w:val="28"/>
        </w:rPr>
        <w:t xml:space="preserve">IV.</w:t>
      </w:r>
      <w:r>
        <w:rPr>
          <w:rFonts w:cs="Arial" w:hAnsi="Arial" w:eastAsia="Arial" w:ascii="Arial"/>
          <w:sz w:val="28"/>
        </w:rPr>
        <w:t xml:space="preserve"> 	</w:t>
      </w:r>
      <w:r>
        <w:rPr>
          <w:sz w:val="28"/>
        </w:rPr>
        <w:t xml:space="preserve">A</w:t>
      </w:r>
      <w:r>
        <w:rPr/>
        <w:t xml:space="preserve">NNUAL </w:t>
      </w:r>
      <w:r>
        <w:rPr>
          <w:sz w:val="28"/>
        </w:rPr>
        <w:t xml:space="preserve">W</w:t>
      </w:r>
      <w:r>
        <w:rPr/>
        <w:t xml:space="preserve">ORK </w:t>
      </w:r>
      <w:r>
        <w:rPr>
          <w:sz w:val="28"/>
        </w:rPr>
        <w:t xml:space="preserve">P</w:t>
      </w:r>
      <w:r>
        <w:rPr/>
        <w:t xml:space="preserve">LAN </w:t>
      </w:r>
      <w:r>
        <w:rPr>
          <w:sz w:val="28"/>
        </w:rPr>
        <w:t xml:space="preserve"> </w:t>
      </w:r>
    </w:p>
    <w:p>
      <w:pPr>
        <w:pStyle w:val="heading2"/>
        <w:spacing w:before="0" w:after="21" w:line="259" w:lineRule="auto"/>
        <w:ind w:left="-5"/>
      </w:pPr>
      <w:r>
        <w:rPr>
          <w:sz w:val="22"/>
        </w:rPr>
        <w:t xml:space="preserve">Year:  September 2009-August 2010 </w:t>
      </w:r>
    </w:p>
    <w:p>
      <w:pPr>
        <w:spacing w:before="0" w:after="81" w:line="259" w:lineRule="auto"/>
        <w:ind w:left="-5" w:right="0"/>
        <w:jc w:val="left"/>
      </w:pPr>
      <w:r>
        <w:rPr>
          <w:rFonts w:cs="Arial" w:hAnsi="Arial" w:eastAsia="Arial" w:ascii="Arial"/>
          <w:b w:val="1"/>
          <w:sz w:val="18"/>
        </w:rPr>
        <w:t xml:space="preserve">Note</w:t>
      </w:r>
      <w:r>
        <w:rPr>
          <w:sz w:val="18"/>
        </w:rPr>
        <w:t xml:space="preserve">: following completion of the 2009, AWP for 2010 will be revised based on actual achievements during the first 6 month of the project</w:t>
      </w:r>
      <w:r>
        <w:rPr>
          <w:rFonts w:cs="Arial" w:hAnsi="Arial" w:eastAsia="Arial" w:ascii="Arial"/>
          <w:b w:val="1"/>
          <w:sz w:val="18"/>
        </w:rPr>
        <w:t xml:space="preserve"> </w:t>
      </w:r>
      <w:r>
        <w:rPr>
          <w:sz w:val="18"/>
        </w:rPr>
        <w:t xml:space="preserve">implementation </w:t>
      </w:r>
    </w:p>
    <w:p>
      <w:pPr>
        <w:spacing w:before="0" w:after="0" w:line="259" w:lineRule="auto"/>
        <w:ind w:left="0" w:right="0" w:firstLine="0"/>
        <w:jc w:val="left"/>
      </w:pPr>
      <w:r>
        <w:rPr>
          <w:sz w:val="22"/>
        </w:rPr>
        <w:t xml:space="preserve"> </w:t>
      </w:r>
    </w:p>
    <w:tbl>
      <w:tblPr>
        <w:tblStyle w:val="TableGrid"/>
        <w:tblW w:w="14698" w:type="dxa"/>
        <w:tblInd w:w="-113" w:type="dxa"/>
        <w:tblCellMar>
          <w:top w:w="7" w:type="dxa"/>
          <w:left w:w="36" w:type="dxa"/>
          <w:bottom w:w="0" w:type="dxa"/>
          <w:right w:w="36" w:type="dxa"/>
        </w:tblCellMar>
      </w:tblPr>
      <w:tblGrid>
        <w:gridCol w:w="2850"/>
        <w:gridCol w:w="3253"/>
        <w:gridCol w:w="649"/>
        <w:gridCol w:w="596"/>
        <w:gridCol w:w="596"/>
        <w:gridCol w:w="599"/>
        <w:gridCol w:w="1543"/>
        <w:gridCol w:w="1366"/>
        <w:gridCol w:w="1576"/>
        <w:gridCol w:w="1669"/>
      </w:tblGrid>
      <w:tr>
        <w:trPr>
          <w:trHeight w:val="484" w:hRule="atLeast"/>
        </w:trPr>
        <w:tc>
          <w:tcPr>
            <w:tcW w:w="2850" w:type="dxa"/>
            <w:vMerge w:val="restart"/>
            <w:tcBorders>
              <w:top w:val="single" w:sz="4" w:color="000000"/>
              <w:left w:val="single" w:sz="4" w:color="000000"/>
              <w:bottom w:val="single" w:sz="4" w:color="000000"/>
              <w:right w:val="single" w:sz="4" w:color="000000"/>
            </w:tcBorders>
            <w:vAlign w:val="top"/>
          </w:tcPr>
          <w:p>
            <w:pPr>
              <w:spacing w:before="0" w:after="44" w:line="259" w:lineRule="auto"/>
              <w:ind w:left="0" w:right="0" w:firstLine="0"/>
              <w:jc w:val="center"/>
            </w:pPr>
            <w:r>
              <w:rPr>
                <w:rFonts w:cs="Arial" w:hAnsi="Arial" w:eastAsia="Arial" w:ascii="Arial"/>
                <w:b w:val="1"/>
                <w:sz w:val="18"/>
              </w:rPr>
              <w:t xml:space="preserve">EXPECTED  OUTPUTS</w:t>
            </w:r>
          </w:p>
          <w:p>
            <w:pPr>
              <w:spacing w:before="0" w:after="0" w:line="259" w:lineRule="auto"/>
              <w:ind w:left="72" w:right="33" w:firstLine="0"/>
              <w:jc w:val="left"/>
            </w:pPr>
            <w:r>
              <w:rPr>
                <w:rFonts w:cs="Arial" w:hAnsi="Arial" w:eastAsia="Arial" w:ascii="Arial"/>
                <w:i w:val="1"/>
                <w:sz w:val="18"/>
              </w:rPr>
              <w:t xml:space="preserve">And baseline, indicators including annual targets </w:t>
            </w:r>
          </w:p>
        </w:tc>
        <w:tc>
          <w:tcPr>
            <w:tcW w:w="3253" w:type="dxa"/>
            <w:vMerge w:val="restart"/>
            <w:tcBorders>
              <w:top w:val="single" w:sz="4" w:color="000000"/>
              <w:left w:val="single" w:sz="4" w:color="000000"/>
              <w:bottom w:val="single" w:sz="4" w:color="000000"/>
              <w:right w:val="single" w:sz="4" w:color="000000"/>
            </w:tcBorders>
            <w:vAlign w:val="top"/>
          </w:tcPr>
          <w:p>
            <w:pPr>
              <w:spacing w:before="0" w:after="27" w:line="259" w:lineRule="auto"/>
              <w:ind w:left="1" w:right="0" w:firstLine="0"/>
              <w:jc w:val="center"/>
            </w:pPr>
            <w:r>
              <w:rPr>
                <w:rFonts w:cs="Arial" w:hAnsi="Arial" w:eastAsia="Arial" w:ascii="Arial"/>
                <w:b w:val="1"/>
                <w:sz w:val="18"/>
              </w:rPr>
              <w:t xml:space="preserve">PLANNED ACTIVITIES</w:t>
            </w:r>
          </w:p>
          <w:p>
            <w:pPr>
              <w:spacing w:before="0" w:after="0" w:line="259" w:lineRule="auto"/>
              <w:ind w:left="0" w:right="106" w:firstLine="0"/>
              <w:jc w:val="right"/>
            </w:pPr>
            <w:r>
              <w:rPr>
                <w:rFonts w:cs="Arial" w:hAnsi="Arial" w:eastAsia="Arial" w:ascii="Arial"/>
                <w:i w:val="1"/>
                <w:sz w:val="16"/>
              </w:rPr>
              <w:t xml:space="preserve">List activity results and associated actions  </w:t>
            </w:r>
          </w:p>
        </w:tc>
        <w:tc>
          <w:tcPr>
            <w:tcW w:w="649"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193" w:type="dxa"/>
            <w:gridSpan w:val="2"/>
            <w:tcBorders>
              <w:top w:val="single" w:sz="4" w:color="000000"/>
              <w:left w:val="nil"/>
              <w:bottom w:val="single" w:sz="4" w:color="000000"/>
              <w:right w:val="nil"/>
            </w:tcBorders>
            <w:vAlign w:val="center"/>
          </w:tcPr>
          <w:p>
            <w:pPr>
              <w:spacing w:before="0" w:after="0" w:line="259" w:lineRule="auto"/>
              <w:ind w:left="0" w:right="0" w:firstLine="0"/>
            </w:pPr>
            <w:r>
              <w:rPr>
                <w:rFonts w:cs="Arial" w:hAnsi="Arial" w:eastAsia="Arial" w:ascii="Arial"/>
                <w:b w:val="1"/>
                <w:sz w:val="18"/>
              </w:rPr>
              <w:t xml:space="preserve">TIMEFRAME </w:t>
            </w:r>
          </w:p>
        </w:tc>
        <w:tc>
          <w:tcPr>
            <w:tcW w:w="599"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54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rFonts w:cs="Arial" w:hAnsi="Arial" w:eastAsia="Arial" w:ascii="Arial"/>
                <w:b w:val="1"/>
                <w:sz w:val="18"/>
              </w:rPr>
              <w:t xml:space="preserve">RESPONSIBLE PARTY </w:t>
            </w:r>
          </w:p>
        </w:tc>
        <w:tc>
          <w:tcPr>
            <w:tcW w:w="1366"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3245" w:type="dxa"/>
            <w:gridSpan w:val="2"/>
            <w:tcBorders>
              <w:top w:val="single" w:sz="4" w:color="000000"/>
              <w:left w:val="nil"/>
              <w:bottom w:val="single" w:sz="4" w:color="000000"/>
              <w:right w:val="single" w:sz="4" w:color="000000"/>
            </w:tcBorders>
            <w:vAlign w:val="center"/>
          </w:tcPr>
          <w:p>
            <w:pPr>
              <w:spacing w:before="0" w:after="0" w:line="259" w:lineRule="auto"/>
              <w:ind w:left="166" w:right="0" w:firstLine="0"/>
              <w:jc w:val="left"/>
            </w:pPr>
            <w:r>
              <w:rPr>
                <w:rFonts w:cs="Arial" w:hAnsi="Arial" w:eastAsia="Arial" w:ascii="Arial"/>
                <w:b w:val="1"/>
                <w:sz w:val="18"/>
              </w:rPr>
              <w:t xml:space="preserve">PLANNED BUDGET </w:t>
            </w:r>
          </w:p>
        </w:tc>
      </w:tr>
      <w:tr>
        <w:trPr>
          <w:trHeight w:val="49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4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center"/>
            </w:pPr>
            <w:r>
              <w:rPr>
                <w:sz w:val="16"/>
              </w:rPr>
              <w:t xml:space="preserve">Q3 </w:t>
            </w:r>
            <w:r>
              <w:rPr>
                <w:sz w:val="16"/>
              </w:rPr>
              <w:t xml:space="preserve">2009 </w:t>
            </w:r>
          </w:p>
        </w:tc>
        <w:tc>
          <w:tcPr>
            <w:tcW w:w="59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sz w:val="16"/>
              </w:rPr>
              <w:t xml:space="preserve">Q4 </w:t>
            </w:r>
            <w:r>
              <w:rPr>
                <w:sz w:val="16"/>
              </w:rPr>
              <w:t xml:space="preserve">2009 </w:t>
            </w:r>
          </w:p>
        </w:tc>
        <w:tc>
          <w:tcPr>
            <w:tcW w:w="59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sz w:val="16"/>
              </w:rPr>
              <w:t xml:space="preserve">Q1 </w:t>
            </w:r>
            <w:r>
              <w:rPr>
                <w:sz w:val="16"/>
              </w:rPr>
              <w:t xml:space="preserve">2010 </w:t>
            </w:r>
          </w:p>
        </w:tc>
        <w:tc>
          <w:tcPr>
            <w:tcW w:w="59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sz w:val="16"/>
              </w:rPr>
              <w:t xml:space="preserve">Q2 </w:t>
            </w:r>
            <w:r>
              <w:rPr>
                <w:sz w:val="16"/>
              </w:rPr>
              <w:t xml:space="preserve">2010 </w:t>
            </w:r>
          </w:p>
        </w:tc>
        <w:tc>
          <w:tcPr>
            <w:tcW w:w="1543" w:type="dxa"/>
            <w:tcBorders>
              <w:top w:val="single" w:sz="4" w:color="000000"/>
              <w:left w:val="single" w:sz="4" w:color="000000"/>
              <w:bottom w:val="single" w:sz="4" w:color="000000"/>
              <w:right w:val="single" w:sz="4" w:color="000000"/>
            </w:tcBorders>
            <w:vAlign w:val="center"/>
          </w:tcPr>
          <w:p>
            <w:pPr>
              <w:spacing w:before="0" w:after="0" w:line="259" w:lineRule="auto"/>
              <w:ind w:left="50" w:right="0" w:firstLine="0"/>
              <w:jc w:val="center"/>
            </w:pPr>
            <w:r>
              <w:rPr>
                <w:sz w:val="18"/>
              </w:rPr>
              <w:t xml:space="preserve">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82" w:right="0" w:firstLine="0"/>
              <w:jc w:val="left"/>
            </w:pPr>
            <w:r>
              <w:rPr>
                <w:sz w:val="16"/>
              </w:rPr>
              <w:t xml:space="preserve">Funding Source </w:t>
            </w:r>
          </w:p>
        </w:tc>
        <w:tc>
          <w:tcPr>
            <w:tcW w:w="1576" w:type="dxa"/>
            <w:tcBorders>
              <w:top w:val="single" w:sz="4" w:color="000000"/>
              <w:left w:val="single" w:sz="4" w:color="000000"/>
              <w:bottom w:val="single" w:sz="4" w:color="000000"/>
              <w:right w:val="single" w:sz="4" w:color="000000"/>
            </w:tcBorders>
            <w:vAlign w:val="center"/>
          </w:tcPr>
          <w:p>
            <w:pPr>
              <w:spacing w:before="0" w:after="0" w:line="259" w:lineRule="auto"/>
              <w:ind w:left="76" w:right="0" w:firstLine="0"/>
              <w:jc w:val="left"/>
            </w:pPr>
            <w:r>
              <w:rPr>
                <w:sz w:val="16"/>
              </w:rPr>
              <w:t xml:space="preserve">Budget Description </w:t>
            </w:r>
          </w:p>
        </w:tc>
        <w:tc>
          <w:tcPr>
            <w:tcW w:w="1669" w:type="dxa"/>
            <w:tcBorders>
              <w:top w:val="single" w:sz="4" w:color="000000"/>
              <w:left w:val="single" w:sz="4" w:color="000000"/>
              <w:bottom w:val="single" w:sz="4" w:color="000000"/>
              <w:right w:val="single" w:sz="4" w:color="000000"/>
            </w:tcBorders>
            <w:vAlign w:val="center"/>
          </w:tcPr>
          <w:p>
            <w:pPr>
              <w:spacing w:before="0" w:after="0" w:line="259" w:lineRule="auto"/>
              <w:ind w:left="0" w:right="4" w:firstLine="0"/>
              <w:jc w:val="center"/>
            </w:pPr>
            <w:r>
              <w:rPr>
                <w:sz w:val="16"/>
              </w:rPr>
              <w:t xml:space="preserve">Amount (USD) </w:t>
            </w:r>
          </w:p>
        </w:tc>
      </w:tr>
    </w:tbl>
    <w:p>
      <w:pPr>
        <w:spacing w:before="0" w:after="0" w:line="259" w:lineRule="auto"/>
        <w:ind w:left="-864" w:right="525" w:firstLine="0"/>
        <w:jc w:val="left"/>
      </w:pPr>
    </w:p>
    <w:tbl>
      <w:tblPr>
        <w:tblStyle w:val="TableGrid"/>
        <w:tblW w:w="14698" w:type="dxa"/>
        <w:tblInd w:w="-113" w:type="dxa"/>
        <w:tblCellMar>
          <w:top w:w="8" w:type="dxa"/>
          <w:left w:w="107" w:type="dxa"/>
          <w:bottom w:w="67" w:type="dxa"/>
          <w:right w:w="8" w:type="dxa"/>
        </w:tblCellMar>
      </w:tblPr>
      <w:tblGrid>
        <w:gridCol w:w="2850"/>
        <w:gridCol w:w="3253"/>
        <w:gridCol w:w="649"/>
        <w:gridCol w:w="596"/>
        <w:gridCol w:w="596"/>
        <w:gridCol w:w="599"/>
        <w:gridCol w:w="1543"/>
        <w:gridCol w:w="1366"/>
        <w:gridCol w:w="1576"/>
        <w:gridCol w:w="1669"/>
      </w:tblGrid>
      <w:tr>
        <w:trPr>
          <w:trHeight w:val="5605" w:hRule="atLeast"/>
        </w:trPr>
        <w:tc>
          <w:tcPr>
            <w:tcW w:w="2850" w:type="dxa"/>
            <w:vMerge w:val="restart"/>
            <w:tcBorders>
              <w:top w:val="single" w:sz="4" w:color="000000"/>
              <w:left w:val="single" w:sz="4" w:color="000000"/>
              <w:bottom w:val="single" w:sz="4" w:color="000000"/>
              <w:right w:val="single" w:sz="4" w:color="000000"/>
            </w:tcBorders>
            <w:vAlign w:val="top"/>
          </w:tcPr>
          <w:p>
            <w:pPr>
              <w:spacing w:before="0" w:after="61" w:line="240" w:lineRule="auto"/>
              <w:ind w:left="1" w:right="99" w:firstLine="0"/>
            </w:pPr>
            <w:r>
              <w:rPr>
                <w:rFonts w:cs="Arial" w:hAnsi="Arial" w:eastAsia="Arial" w:ascii="Arial"/>
                <w:b w:val="1"/>
                <w:sz w:val="16"/>
              </w:rPr>
              <w:t xml:space="preserve">Output 1. Strengthened capacity of National Stakeholders and improved institutional framework to implement nationally led Darfur DDR project </w:t>
            </w:r>
          </w:p>
          <w:p>
            <w:pPr>
              <w:spacing w:before="0" w:after="45" w:line="259" w:lineRule="auto"/>
              <w:ind w:left="1" w:right="0" w:firstLine="0"/>
              <w:jc w:val="left"/>
            </w:pPr>
            <w:r>
              <w:rPr>
                <w:sz w:val="16"/>
              </w:rPr>
              <w:t xml:space="preserve">Baseline:  </w:t>
            </w:r>
          </w:p>
          <w:p>
            <w:pPr>
              <w:numPr>
                <w:ilvl w:val="0"/>
                <w:numId w:val="15"/>
              </w:numPr>
              <w:spacing w:before="0" w:after="59" w:line="241" w:lineRule="auto"/>
              <w:ind w:left="253" w:right="100" w:hanging="252"/>
            </w:pPr>
            <w:r>
              <w:rPr>
                <w:sz w:val="16"/>
              </w:rPr>
              <w:t xml:space="preserve">No proper State DDR Offices and institutions established in Darfur regions. </w:t>
            </w:r>
          </w:p>
          <w:p>
            <w:pPr>
              <w:numPr>
                <w:ilvl w:val="0"/>
                <w:numId w:val="15"/>
              </w:numPr>
              <w:spacing w:before="0" w:after="61" w:line="240" w:lineRule="auto"/>
              <w:ind w:left="253" w:right="100" w:hanging="252"/>
            </w:pPr>
            <w:r>
              <w:rPr>
                <w:sz w:val="16"/>
              </w:rPr>
              <w:t xml:space="preserve">Darfur-specific policies, strategy and operational capacity need to be tailored and strengthened. </w:t>
            </w:r>
          </w:p>
          <w:p>
            <w:pPr>
              <w:spacing w:before="0" w:after="45" w:line="259" w:lineRule="auto"/>
              <w:ind w:left="1" w:right="0" w:firstLine="0"/>
              <w:jc w:val="left"/>
            </w:pPr>
            <w:r>
              <w:rPr>
                <w:sz w:val="16"/>
              </w:rPr>
              <w:t xml:space="preserve">Indicators:  </w:t>
            </w:r>
          </w:p>
          <w:p>
            <w:pPr>
              <w:spacing w:before="0" w:after="59" w:line="241" w:lineRule="auto"/>
              <w:ind w:left="1" w:right="101" w:firstLine="0"/>
            </w:pPr>
            <w:r>
              <w:rPr>
                <w:sz w:val="16"/>
              </w:rPr>
              <w:t xml:space="preserve">(1.1.) Management system of Darfur DDR established and State Offices set up. </w:t>
            </w:r>
          </w:p>
          <w:p>
            <w:pPr>
              <w:spacing w:before="0" w:after="59" w:line="241" w:lineRule="auto"/>
              <w:ind w:left="1" w:right="100" w:firstLine="0"/>
            </w:pPr>
            <w:r>
              <w:rPr>
                <w:sz w:val="16"/>
              </w:rPr>
              <w:t xml:space="preserve">(1.2.) Darfur DDR state offices have required vacancies filled, trained and deployed. </w:t>
            </w:r>
          </w:p>
          <w:p>
            <w:pPr>
              <w:numPr>
                <w:ilvl w:val="0"/>
                <w:numId w:val="16"/>
              </w:numPr>
              <w:spacing w:before="0" w:after="59" w:line="241" w:lineRule="auto"/>
              <w:ind w:left="1" w:right="101" w:firstLine="0"/>
            </w:pPr>
            <w:r>
              <w:rPr>
                <w:sz w:val="16"/>
              </w:rPr>
              <w:t xml:space="preserve">3.) Transportation, logistical and administrative capacities established to support State Offices.  </w:t>
            </w:r>
          </w:p>
          <w:p>
            <w:pPr>
              <w:spacing w:before="0" w:after="59" w:line="241" w:lineRule="auto"/>
              <w:ind w:left="1" w:right="101" w:firstLine="0"/>
            </w:pPr>
            <w:r>
              <w:rPr>
                <w:sz w:val="16"/>
              </w:rPr>
              <w:t xml:space="preserve">(2.1) Capacities of National Institutions strengthened on key aspects of Darfur DDR </w:t>
            </w:r>
          </w:p>
          <w:p>
            <w:pPr>
              <w:numPr>
                <w:ilvl w:val="0"/>
                <w:numId w:val="16"/>
              </w:numPr>
              <w:spacing w:before="0" w:after="0" w:line="259" w:lineRule="auto"/>
              <w:ind w:left="1" w:right="101" w:firstLine="0"/>
            </w:pPr>
            <w:r>
              <w:rPr>
                <w:sz w:val="16"/>
              </w:rPr>
              <w:t xml:space="preserve">2.) Capacities of National Institutions strengthened on key principles of DDR (SNG,</w:t>
            </w:r>
            <w:r>
              <w:rPr/>
              <w:t xml:space="preserve"> </w:t>
            </w:r>
            <w:r>
              <w:rPr>
                <w:sz w:val="16"/>
              </w:rPr>
              <w:t xml:space="preserve">gender) </w:t>
            </w:r>
          </w:p>
        </w:tc>
        <w:tc>
          <w:tcPr>
            <w:tcW w:w="3253" w:type="dxa"/>
            <w:tcBorders>
              <w:top w:val="single" w:sz="4" w:color="000000"/>
              <w:left w:val="single" w:sz="4" w:color="000000"/>
              <w:bottom w:val="single" w:sz="4" w:color="000000"/>
              <w:right w:val="single" w:sz="4" w:color="000000"/>
            </w:tcBorders>
            <w:vAlign w:val="bottom"/>
          </w:tcPr>
          <w:p>
            <w:pPr>
              <w:spacing w:before="0" w:after="59" w:line="241" w:lineRule="auto"/>
              <w:ind w:left="1" w:right="101" w:firstLine="0"/>
            </w:pPr>
            <w:r>
              <w:rPr>
                <w:rFonts w:cs="Arial" w:hAnsi="Arial" w:eastAsia="Arial" w:ascii="Arial"/>
                <w:b w:val="1"/>
                <w:sz w:val="16"/>
              </w:rPr>
              <w:t xml:space="preserve">Activity Result (1) Offices deployed within projected timeline, operational and implementing activities  </w:t>
            </w:r>
          </w:p>
          <w:p>
            <w:pPr>
              <w:spacing w:before="0" w:after="61" w:line="240" w:lineRule="auto"/>
              <w:ind w:left="1" w:right="101" w:firstLine="0"/>
            </w:pPr>
            <w:r>
              <w:rPr>
                <w:sz w:val="16"/>
              </w:rPr>
              <w:t xml:space="preserve">Action1.1.: Three State Offices identified and established in El Fasher, El Geneina and Nyala </w:t>
            </w:r>
          </w:p>
          <w:p>
            <w:pPr>
              <w:spacing w:before="0" w:after="61" w:line="240" w:lineRule="auto"/>
              <w:ind w:left="1" w:right="101" w:firstLine="0"/>
            </w:pPr>
            <w:r>
              <w:rPr>
                <w:sz w:val="16"/>
              </w:rPr>
              <w:t xml:space="preserve">Action1.2.: Three state offices are equipped with required vehicles, furniture and office equipment </w:t>
            </w:r>
          </w:p>
          <w:p>
            <w:pPr>
              <w:spacing w:before="0" w:after="60" w:line="241" w:lineRule="auto"/>
              <w:ind w:left="1" w:right="101" w:firstLine="0"/>
            </w:pPr>
            <w:r>
              <w:rPr>
                <w:sz w:val="16"/>
              </w:rPr>
              <w:t xml:space="preserve">Action1.3.: Legislative and institutional frameworks for sustainable functioning of the three institutions developed and formalised  </w:t>
            </w:r>
          </w:p>
          <w:p>
            <w:pPr>
              <w:spacing w:before="0" w:after="59" w:line="241" w:lineRule="auto"/>
              <w:ind w:left="1" w:right="0" w:firstLine="0"/>
              <w:jc w:val="left"/>
            </w:pPr>
            <w:r>
              <w:rPr>
                <w:sz w:val="16"/>
              </w:rPr>
              <w:t xml:space="preserve">Action 1.4.: ToRs of required for the DDR project staff agreed upon, developed  and institutionalized </w:t>
            </w:r>
          </w:p>
          <w:p>
            <w:pPr>
              <w:spacing w:before="0" w:after="0" w:line="259" w:lineRule="auto"/>
              <w:ind w:left="1" w:right="101" w:firstLine="0"/>
            </w:pPr>
            <w:r>
              <w:rPr>
                <w:sz w:val="16"/>
              </w:rPr>
              <w:t xml:space="preserve">Action 1.5.: Recruitment and training of required staff on administrative functions deployment to state and branch offices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1543" w:type="dxa"/>
            <w:tcBorders>
              <w:top w:val="single" w:sz="4" w:color="000000"/>
              <w:left w:val="single" w:sz="4" w:color="000000"/>
              <w:bottom w:val="single" w:sz="4" w:color="000000"/>
              <w:right w:val="single" w:sz="4" w:color="000000"/>
            </w:tcBorders>
            <w:vAlign w:val="center"/>
          </w:tcPr>
          <w:p>
            <w:pPr>
              <w:tabs>
                <w:tab w:val="center" w:pos="342"/>
                <w:tab w:val="center" w:pos="1193"/>
              </w:tabs>
              <w:spacing w:before="0" w:after="0" w:line="259" w:lineRule="auto"/>
              <w:ind w:left="0" w:right="0" w:firstLine="0"/>
              <w:jc w:val="left"/>
            </w:pPr>
            <w:r>
              <w:rPr>
                <w:rFonts w:cs="Calibri" w:hAnsi="Calibri" w:eastAsia="Calibri" w:ascii="Calibri"/>
                <w:sz w:val="22"/>
              </w:rPr>
              <w:t xml:space="preserve">	</w:t>
            </w:r>
            <w:r>
              <w:rPr>
                <w:sz w:val="16"/>
              </w:rPr>
              <w:t xml:space="preserve">NSDDRC 	and </w:t>
            </w:r>
          </w:p>
          <w:p>
            <w:pPr>
              <w:spacing w:before="0" w:after="0" w:line="259" w:lineRule="auto"/>
              <w:ind w:left="1" w:right="0" w:firstLine="0"/>
              <w:jc w:val="left"/>
            </w:pPr>
            <w:r>
              <w:rPr>
                <w:sz w:val="16"/>
              </w:rPr>
              <w:t xml:space="preserve">UNDP jointly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0" w:right="101" w:firstLine="0"/>
              <w:jc w:val="center"/>
            </w:pPr>
            <w:r>
              <w:rPr>
                <w:sz w:val="22"/>
              </w:rPr>
              <w:t xml:space="preserve">TRAC3 </w:t>
            </w:r>
          </w:p>
        </w:tc>
        <w:tc>
          <w:tcPr>
            <w:tcW w:w="1576" w:type="dxa"/>
            <w:tcBorders>
              <w:top w:val="single" w:sz="4" w:color="000000"/>
              <w:left w:val="single" w:sz="4" w:color="000000"/>
              <w:bottom w:val="single" w:sz="4" w:color="000000"/>
              <w:right w:val="single" w:sz="4" w:color="000000"/>
            </w:tcBorders>
            <w:vAlign w:val="top"/>
          </w:tcPr>
          <w:p>
            <w:pPr>
              <w:spacing w:before="0" w:after="44" w:line="259" w:lineRule="auto"/>
              <w:ind w:left="1" w:right="0" w:firstLine="0"/>
              <w:jc w:val="left"/>
            </w:pPr>
            <w:r>
              <w:rPr>
                <w:sz w:val="18"/>
              </w:rPr>
              <w:t xml:space="preserve">Equipment </w:t>
            </w:r>
          </w:p>
          <w:p>
            <w:pPr>
              <w:spacing w:before="0" w:after="43" w:line="259" w:lineRule="auto"/>
              <w:ind w:left="1" w:right="0" w:firstLine="0"/>
              <w:jc w:val="left"/>
            </w:pPr>
            <w:r>
              <w:rPr>
                <w:sz w:val="18"/>
              </w:rPr>
              <w:t xml:space="preserve">Procurement </w:t>
            </w:r>
          </w:p>
          <w:p>
            <w:pPr>
              <w:spacing w:before="0" w:after="0" w:line="259" w:lineRule="auto"/>
              <w:ind w:left="1" w:right="0" w:firstLine="0"/>
              <w:jc w:val="left"/>
            </w:pPr>
            <w:r>
              <w:rPr>
                <w:sz w:val="18"/>
              </w:rPr>
              <w:t xml:space="preserve">Project </w:t>
            </w:r>
          </w:p>
          <w:p>
            <w:pPr>
              <w:spacing w:before="0" w:after="0" w:line="259" w:lineRule="auto"/>
              <w:ind w:left="1" w:right="0" w:firstLine="0"/>
              <w:jc w:val="left"/>
            </w:pPr>
            <w:r>
              <w:rPr>
                <w:sz w:val="18"/>
              </w:rPr>
              <w:t xml:space="preserve">Management </w:t>
            </w:r>
          </w:p>
        </w:tc>
        <w:tc>
          <w:tcPr>
            <w:tcW w:w="1669" w:type="dxa"/>
            <w:tcBorders>
              <w:top w:val="single" w:sz="4" w:color="000000"/>
              <w:left w:val="single" w:sz="4" w:color="000000"/>
              <w:bottom w:val="single" w:sz="4" w:color="000000"/>
              <w:right w:val="single" w:sz="4" w:color="000000"/>
            </w:tcBorders>
            <w:vAlign w:val="top"/>
          </w:tcPr>
          <w:p>
            <w:pPr>
              <w:spacing w:before="0" w:after="21" w:line="259" w:lineRule="auto"/>
              <w:ind w:left="0" w:right="39" w:firstLine="0"/>
              <w:jc w:val="right"/>
            </w:pPr>
            <w:r>
              <w:rPr>
                <w:sz w:val="22"/>
              </w:rPr>
              <w:t xml:space="preserve"> </w:t>
            </w:r>
          </w:p>
          <w:p>
            <w:pPr>
              <w:spacing w:before="0" w:after="0" w:line="259" w:lineRule="auto"/>
              <w:ind w:left="0" w:right="0" w:firstLine="0"/>
              <w:jc w:val="left"/>
            </w:pPr>
            <w:r>
              <w:rPr/>
              <w:t xml:space="preserve">Office </w:t>
            </w:r>
          </w:p>
          <w:p>
            <w:pPr>
              <w:spacing w:before="0" w:after="60" w:line="240" w:lineRule="auto"/>
              <w:ind w:left="0" w:right="0" w:firstLine="0"/>
              <w:jc w:val="left"/>
            </w:pPr>
            <w:r>
              <w:rPr/>
              <w:t xml:space="preserve">Equipment </w:t>
            </w:r>
            <w:r>
              <w:rPr/>
              <w:t xml:space="preserve">30,000  </w:t>
            </w:r>
          </w:p>
          <w:p>
            <w:pPr>
              <w:spacing w:before="0" w:after="0" w:line="259" w:lineRule="auto"/>
              <w:ind w:left="0" w:right="0" w:firstLine="0"/>
              <w:jc w:val="left"/>
            </w:pPr>
            <w:r>
              <w:rPr/>
              <w:t xml:space="preserve">Furniture </w:t>
            </w:r>
          </w:p>
          <w:p>
            <w:pPr>
              <w:spacing w:before="0" w:after="42" w:line="259" w:lineRule="auto"/>
              <w:ind w:left="0" w:right="0" w:firstLine="0"/>
              <w:jc w:val="left"/>
            </w:pPr>
            <w:r>
              <w:rPr/>
              <w:t xml:space="preserve">30,000  </w:t>
            </w:r>
          </w:p>
          <w:p>
            <w:pPr>
              <w:spacing w:before="0" w:after="42" w:line="259" w:lineRule="auto"/>
              <w:ind w:left="0" w:right="0" w:firstLine="0"/>
              <w:jc w:val="left"/>
            </w:pPr>
            <w:r>
              <w:rPr/>
              <w:t xml:space="preserve">Vehicle 240,000  </w:t>
            </w:r>
          </w:p>
          <w:p>
            <w:pPr>
              <w:spacing w:before="0" w:after="61" w:line="239" w:lineRule="auto"/>
              <w:ind w:left="0" w:right="0" w:firstLine="0"/>
              <w:jc w:val="left"/>
            </w:pPr>
            <w:r>
              <w:rPr/>
              <w:t xml:space="preserve">Generator </w:t>
            </w:r>
            <w:r>
              <w:rPr/>
              <w:t xml:space="preserve">30,000  </w:t>
            </w:r>
          </w:p>
          <w:p>
            <w:pPr>
              <w:spacing w:before="0" w:after="59" w:line="240" w:lineRule="auto"/>
              <w:ind w:left="0" w:right="0" w:firstLine="0"/>
              <w:jc w:val="left"/>
            </w:pPr>
            <w:r>
              <w:rPr/>
              <w:t xml:space="preserve">IT Equipment </w:t>
            </w:r>
            <w:r>
              <w:rPr/>
              <w:t xml:space="preserve">60,000  </w:t>
            </w:r>
          </w:p>
          <w:p>
            <w:pPr>
              <w:spacing w:before="0" w:after="0" w:line="259" w:lineRule="auto"/>
              <w:ind w:left="0" w:right="0" w:firstLine="0"/>
              <w:jc w:val="left"/>
            </w:pPr>
            <w:r>
              <w:rPr/>
              <w:t xml:space="preserve">Communication </w:t>
            </w:r>
          </w:p>
          <w:p>
            <w:pPr>
              <w:spacing w:before="0" w:after="59" w:line="240" w:lineRule="auto"/>
              <w:ind w:left="0" w:right="0" w:firstLine="0"/>
              <w:jc w:val="left"/>
            </w:pPr>
            <w:r>
              <w:rPr/>
              <w:t xml:space="preserve">Equipment  </w:t>
            </w:r>
            <w:r>
              <w:rPr/>
              <w:t xml:space="preserve">36,000  </w:t>
            </w:r>
          </w:p>
          <w:p>
            <w:pPr>
              <w:spacing w:before="0" w:after="0" w:line="259" w:lineRule="auto"/>
              <w:ind w:left="0" w:right="0" w:firstLine="0"/>
              <w:jc w:val="left"/>
            </w:pPr>
            <w:r>
              <w:rPr/>
              <w:t xml:space="preserve">Operational </w:t>
            </w:r>
          </w:p>
          <w:p>
            <w:pPr>
              <w:spacing w:before="0" w:after="59" w:line="259" w:lineRule="auto"/>
              <w:ind w:left="0" w:right="0" w:firstLine="0"/>
              <w:jc w:val="left"/>
            </w:pPr>
            <w:r>
              <w:rPr/>
              <w:t xml:space="preserve">Cost 72,000  </w:t>
            </w:r>
          </w:p>
          <w:p>
            <w:pPr>
              <w:tabs>
                <w:tab w:val="center" w:pos="595"/>
                <w:tab w:val="center" w:pos="1439"/>
              </w:tabs>
              <w:spacing w:before="0" w:after="0" w:line="259" w:lineRule="auto"/>
              <w:ind w:left="0" w:right="0" w:firstLine="0"/>
              <w:jc w:val="left"/>
            </w:pPr>
            <w:r>
              <w:rPr>
                <w:rFonts w:cs="Calibri" w:hAnsi="Calibri" w:eastAsia="Calibri" w:ascii="Calibri"/>
                <w:sz w:val="22"/>
              </w:rPr>
              <w:t xml:space="preserve">	</w:t>
            </w:r>
            <w:r>
              <w:rPr/>
              <w:t xml:space="preserve">Office Supply 	 </w:t>
            </w:r>
          </w:p>
          <w:p>
            <w:pPr>
              <w:spacing w:before="0" w:after="42" w:line="259" w:lineRule="auto"/>
              <w:ind w:left="0" w:right="0" w:firstLine="0"/>
              <w:jc w:val="left"/>
            </w:pPr>
            <w:r>
              <w:rPr/>
              <w:t xml:space="preserve">7,200  </w:t>
            </w:r>
          </w:p>
          <w:p>
            <w:pPr>
              <w:spacing w:before="0" w:after="40" w:line="259" w:lineRule="auto"/>
              <w:ind w:left="0" w:right="0" w:firstLine="0"/>
              <w:jc w:val="left"/>
            </w:pPr>
            <w:r>
              <w:rPr/>
              <w:t xml:space="preserve"> </w:t>
            </w:r>
          </w:p>
          <w:p>
            <w:pPr>
              <w:spacing w:before="0" w:after="61" w:line="259" w:lineRule="auto"/>
              <w:ind w:left="0" w:right="0" w:firstLine="0"/>
              <w:jc w:val="left"/>
            </w:pPr>
            <w:r>
              <w:rPr/>
              <w:t xml:space="preserve">Total: 505,200 </w:t>
            </w:r>
          </w:p>
          <w:p>
            <w:pPr>
              <w:spacing w:before="0" w:after="0" w:line="259" w:lineRule="auto"/>
              <w:ind w:left="0" w:right="39" w:firstLine="0"/>
              <w:jc w:val="right"/>
            </w:pPr>
            <w:r>
              <w:rPr>
                <w:sz w:val="22"/>
              </w:rPr>
              <w:t xml:space="preserve"> </w:t>
            </w:r>
          </w:p>
        </w:tc>
      </w:tr>
      <w:tr>
        <w:trPr>
          <w:trHeight w:val="315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253" w:type="dxa"/>
            <w:tcBorders>
              <w:top w:val="single" w:sz="4" w:color="000000"/>
              <w:left w:val="single" w:sz="4" w:color="000000"/>
              <w:bottom w:val="single" w:sz="4" w:color="000000"/>
              <w:right w:val="single" w:sz="4" w:color="000000"/>
            </w:tcBorders>
            <w:vAlign w:val="center"/>
          </w:tcPr>
          <w:p>
            <w:pPr>
              <w:spacing w:before="0" w:after="55" w:line="247" w:lineRule="auto"/>
              <w:ind w:left="1" w:right="0" w:firstLine="0"/>
              <w:jc w:val="left"/>
            </w:pPr>
            <w:r>
              <w:rPr>
                <w:rFonts w:cs="Arial" w:hAnsi="Arial" w:eastAsia="Arial" w:ascii="Arial"/>
                <w:b w:val="1"/>
                <w:sz w:val="16"/>
              </w:rPr>
              <w:t xml:space="preserve">Activity 	Result 	(2) 	SOPs 	and operational guidelines developed  </w:t>
            </w:r>
          </w:p>
          <w:p>
            <w:pPr>
              <w:spacing w:before="0" w:after="61" w:line="241" w:lineRule="auto"/>
              <w:ind w:left="1" w:right="101" w:firstLine="0"/>
            </w:pPr>
            <w:r>
              <w:rPr>
                <w:sz w:val="16"/>
              </w:rPr>
              <w:t xml:space="preserve">Action 2.1.: Joint (NSDDRC state offices and the UN) preparation for operational guidelines and SOPs for Darfur DDR implementation </w:t>
            </w:r>
          </w:p>
          <w:p>
            <w:pPr>
              <w:spacing w:before="0" w:after="0" w:line="240" w:lineRule="auto"/>
              <w:ind w:left="1" w:right="0" w:firstLine="0"/>
            </w:pPr>
            <w:r>
              <w:rPr>
                <w:sz w:val="16"/>
              </w:rPr>
              <w:t xml:space="preserve">Action 2.2.: Formalization and institutionalization of SOPs and </w:t>
            </w:r>
          </w:p>
          <w:p>
            <w:pPr>
              <w:spacing w:before="0" w:after="0" w:line="259" w:lineRule="auto"/>
              <w:ind w:left="1" w:right="0" w:firstLine="0"/>
              <w:jc w:val="left"/>
            </w:pPr>
            <w:r>
              <w:rPr>
                <w:sz w:val="16"/>
              </w:rPr>
              <w:t xml:space="preserve">operational guidelines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0" w:line="259" w:lineRule="auto"/>
              <w:ind w:left="0" w:right="100" w:firstLine="0"/>
              <w:jc w:val="center"/>
            </w:pPr>
            <w:r>
              <w:rPr>
                <w:rFonts w:cs="Arial" w:hAnsi="Arial" w:eastAsia="Arial" w:ascii="Arial"/>
                <w:sz w:val="22"/>
              </w:rPr>
              <w:t xml:space="preserve">√</w:t>
            </w:r>
            <w:r>
              <w:rPr>
                <w:sz w:val="22"/>
              </w:rPr>
              <w:t xml:space="preserve"> </w:t>
            </w:r>
          </w:p>
        </w:tc>
        <w:tc>
          <w:tcPr>
            <w:tcW w:w="1543" w:type="dxa"/>
            <w:tcBorders>
              <w:top w:val="single" w:sz="4" w:color="000000"/>
              <w:left w:val="single" w:sz="4" w:color="000000"/>
              <w:bottom w:val="single" w:sz="4" w:color="000000"/>
              <w:right w:val="single" w:sz="4" w:color="000000"/>
            </w:tcBorders>
            <w:vAlign w:val="center"/>
          </w:tcPr>
          <w:p>
            <w:pPr>
              <w:tabs>
                <w:tab w:val="center" w:pos="342"/>
                <w:tab w:val="center" w:pos="1193"/>
              </w:tabs>
              <w:spacing w:before="0" w:after="0" w:line="259" w:lineRule="auto"/>
              <w:ind w:left="0" w:right="0" w:firstLine="0"/>
              <w:jc w:val="left"/>
            </w:pPr>
            <w:r>
              <w:rPr>
                <w:rFonts w:cs="Calibri" w:hAnsi="Calibri" w:eastAsia="Calibri" w:ascii="Calibri"/>
                <w:sz w:val="22"/>
              </w:rPr>
              <w:t xml:space="preserve">	</w:t>
            </w:r>
            <w:r>
              <w:rPr>
                <w:sz w:val="16"/>
              </w:rPr>
              <w:t xml:space="preserve">NSDDRC 	and </w:t>
            </w:r>
          </w:p>
          <w:p>
            <w:pPr>
              <w:spacing w:before="0" w:after="0" w:line="259" w:lineRule="auto"/>
              <w:ind w:left="1" w:right="0" w:firstLine="0"/>
              <w:jc w:val="left"/>
            </w:pPr>
            <w:r>
              <w:rPr>
                <w:sz w:val="16"/>
              </w:rPr>
              <w:t xml:space="preserve">UNDP jointly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sz w:val="22"/>
              </w:rPr>
              <w:t xml:space="preserve">TRAC3 </w:t>
            </w:r>
          </w:p>
        </w:tc>
        <w:tc>
          <w:tcPr>
            <w:tcW w:w="1576" w:type="dxa"/>
            <w:tcBorders>
              <w:top w:val="single" w:sz="4" w:color="000000"/>
              <w:left w:val="single" w:sz="4" w:color="000000"/>
              <w:bottom w:val="single" w:sz="4" w:color="000000"/>
              <w:right w:val="single" w:sz="4" w:color="000000"/>
            </w:tcBorders>
            <w:vAlign w:val="center"/>
          </w:tcPr>
          <w:p>
            <w:pPr>
              <w:spacing w:before="0" w:after="42" w:line="259" w:lineRule="auto"/>
              <w:ind w:left="1" w:right="0" w:firstLine="0"/>
              <w:jc w:val="left"/>
            </w:pPr>
            <w:r>
              <w:rPr/>
              <w:t xml:space="preserve">Staff </w:t>
            </w:r>
          </w:p>
          <w:p>
            <w:pPr>
              <w:spacing w:before="0" w:after="42" w:line="259" w:lineRule="auto"/>
              <w:ind w:left="1" w:right="0" w:firstLine="0"/>
              <w:jc w:val="left"/>
            </w:pPr>
            <w:r>
              <w:rPr/>
              <w:t xml:space="preserve">Training </w:t>
            </w:r>
          </w:p>
          <w:p>
            <w:pPr>
              <w:spacing w:before="0" w:after="0" w:line="259" w:lineRule="auto"/>
              <w:ind w:left="1" w:right="0" w:firstLine="0"/>
              <w:jc w:val="left"/>
            </w:pPr>
            <w:r>
              <w:rPr/>
              <w:t xml:space="preserve">Material</w:t>
            </w:r>
            <w:r>
              <w:rPr>
                <w:sz w:val="18"/>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State Office </w:t>
            </w:r>
          </w:p>
          <w:p>
            <w:pPr>
              <w:spacing w:before="0" w:after="0" w:line="259" w:lineRule="auto"/>
              <w:ind w:left="0" w:right="0" w:firstLine="0"/>
              <w:jc w:val="left"/>
            </w:pPr>
            <w:r>
              <w:rPr/>
              <w:t xml:space="preserve">Coordinator (El </w:t>
            </w:r>
          </w:p>
          <w:p>
            <w:pPr>
              <w:spacing w:before="0" w:after="0" w:line="259" w:lineRule="auto"/>
              <w:ind w:left="0" w:right="0" w:firstLine="0"/>
              <w:jc w:val="left"/>
            </w:pPr>
            <w:r>
              <w:rPr/>
              <w:t xml:space="preserve">Fasher) </w:t>
            </w:r>
          </w:p>
          <w:p>
            <w:pPr>
              <w:spacing w:before="0" w:after="42" w:line="259" w:lineRule="auto"/>
              <w:ind w:left="0" w:right="0" w:firstLine="0"/>
              <w:jc w:val="left"/>
            </w:pPr>
            <w:r>
              <w:rPr/>
              <w:t xml:space="preserve">192,000  </w:t>
            </w:r>
          </w:p>
          <w:p>
            <w:pPr>
              <w:spacing w:before="0" w:after="59" w:line="240" w:lineRule="auto"/>
              <w:ind w:left="0" w:right="0" w:firstLine="0"/>
              <w:jc w:val="left"/>
            </w:pPr>
            <w:r>
              <w:rPr/>
              <w:t xml:space="preserve">DDR Analyst </w:t>
            </w:r>
            <w:r>
              <w:rPr/>
              <w:t xml:space="preserve">144,000 </w:t>
            </w:r>
          </w:p>
          <w:p>
            <w:pPr>
              <w:spacing w:before="0" w:after="0" w:line="259" w:lineRule="auto"/>
              <w:ind w:left="0" w:right="0" w:firstLine="0"/>
              <w:jc w:val="left"/>
            </w:pPr>
            <w:r>
              <w:rPr/>
              <w:t xml:space="preserve">SOP and </w:t>
            </w:r>
          </w:p>
          <w:p>
            <w:pPr>
              <w:spacing w:before="0" w:after="0" w:line="259" w:lineRule="auto"/>
              <w:ind w:left="0" w:right="0" w:firstLine="0"/>
              <w:jc w:val="left"/>
            </w:pPr>
            <w:r>
              <w:rPr/>
              <w:t xml:space="preserve">Operational </w:t>
            </w:r>
          </w:p>
          <w:p>
            <w:pPr>
              <w:spacing w:before="0" w:after="42" w:line="259" w:lineRule="auto"/>
              <w:ind w:left="0" w:right="0" w:firstLine="0"/>
              <w:jc w:val="left"/>
            </w:pPr>
            <w:r>
              <w:rPr/>
              <w:t xml:space="preserve">Manual  3,000  </w:t>
            </w:r>
          </w:p>
          <w:p>
            <w:pPr>
              <w:spacing w:before="0" w:after="42" w:line="259" w:lineRule="auto"/>
              <w:ind w:left="0" w:right="0" w:firstLine="0"/>
              <w:jc w:val="left"/>
            </w:pPr>
            <w:r>
              <w:rPr/>
              <w:t xml:space="preserve"> </w:t>
            </w:r>
          </w:p>
          <w:p>
            <w:pPr>
              <w:spacing w:before="0" w:after="60" w:line="259" w:lineRule="auto"/>
              <w:ind w:left="0" w:right="0" w:firstLine="0"/>
              <w:jc w:val="left"/>
            </w:pPr>
            <w:r>
              <w:rPr/>
              <w:t xml:space="preserve">Total: 339,000 </w:t>
            </w:r>
          </w:p>
          <w:p>
            <w:pPr>
              <w:spacing w:before="0" w:after="0" w:line="259" w:lineRule="auto"/>
              <w:ind w:left="0" w:right="39" w:firstLine="0"/>
              <w:jc w:val="right"/>
            </w:pPr>
            <w:r>
              <w:rPr>
                <w:sz w:val="22"/>
              </w:rPr>
              <w:t xml:space="preserve"> </w:t>
            </w:r>
          </w:p>
        </w:tc>
      </w:tr>
    </w:tbl>
    <w:p>
      <w:pPr>
        <w:spacing w:before="0" w:after="0" w:line="259" w:lineRule="auto"/>
        <w:ind w:left="-864" w:right="525" w:firstLine="0"/>
        <w:jc w:val="left"/>
      </w:pPr>
    </w:p>
    <w:tbl>
      <w:tblPr>
        <w:tblStyle w:val="TableGrid"/>
        <w:tblW w:w="14698" w:type="dxa"/>
        <w:tblInd w:w="-113" w:type="dxa"/>
        <w:tblCellMar>
          <w:top w:w="44" w:type="dxa"/>
          <w:left w:w="0" w:type="dxa"/>
          <w:bottom w:w="0" w:type="dxa"/>
          <w:right w:w="47" w:type="dxa"/>
        </w:tblCellMar>
      </w:tblPr>
      <w:tblGrid>
        <w:gridCol w:w="2850"/>
        <w:gridCol w:w="3253"/>
        <w:gridCol w:w="649"/>
        <w:gridCol w:w="596"/>
        <w:gridCol w:w="596"/>
        <w:gridCol w:w="599"/>
        <w:gridCol w:w="1166"/>
        <w:gridCol w:w="377"/>
        <w:gridCol w:w="1366"/>
        <w:gridCol w:w="1576"/>
        <w:gridCol w:w="1669"/>
      </w:tblGrid>
      <w:tr>
        <w:trPr>
          <w:trHeight w:val="6194" w:hRule="atLeast"/>
        </w:trPr>
        <w:tc>
          <w:tcPr>
            <w:tcW w:w="285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253" w:type="dxa"/>
            <w:tcBorders>
              <w:top w:val="single" w:sz="4" w:color="000000"/>
              <w:left w:val="single" w:sz="4" w:color="000000"/>
              <w:bottom w:val="single" w:sz="4" w:color="000000"/>
              <w:right w:val="single" w:sz="4" w:color="000000"/>
            </w:tcBorders>
            <w:vAlign w:val="center"/>
          </w:tcPr>
          <w:p>
            <w:pPr>
              <w:spacing w:before="0" w:after="61" w:line="241" w:lineRule="auto"/>
              <w:ind w:left="108" w:right="62" w:firstLine="0"/>
            </w:pPr>
            <w:r>
              <w:rPr>
                <w:rFonts w:cs="Arial" w:hAnsi="Arial" w:eastAsia="Arial" w:ascii="Arial"/>
                <w:b w:val="1"/>
                <w:sz w:val="16"/>
              </w:rPr>
              <w:t xml:space="preserve">Activity Result (3) Commission staff trained and applying training to the implementation of activities within Darfur DDR </w:t>
            </w:r>
          </w:p>
          <w:p>
            <w:pPr>
              <w:spacing w:before="0" w:after="0" w:line="240" w:lineRule="auto"/>
              <w:ind w:left="108" w:right="0" w:firstLine="0"/>
            </w:pPr>
            <w:r>
              <w:rPr>
                <w:sz w:val="16"/>
              </w:rPr>
              <w:t xml:space="preserve">Action 3.1.: Develop capacity development strategy and training programme for </w:t>
            </w:r>
          </w:p>
          <w:p>
            <w:pPr>
              <w:spacing w:before="0" w:after="47" w:line="259" w:lineRule="auto"/>
              <w:ind w:left="108" w:right="0" w:firstLine="0"/>
              <w:jc w:val="left"/>
            </w:pPr>
            <w:r>
              <w:rPr>
                <w:sz w:val="16"/>
              </w:rPr>
              <w:t xml:space="preserve">required staff of the state offices </w:t>
            </w:r>
          </w:p>
          <w:p>
            <w:pPr>
              <w:spacing w:before="0" w:after="0" w:line="259" w:lineRule="auto"/>
              <w:ind w:left="108" w:right="0" w:firstLine="0"/>
              <w:jc w:val="left"/>
            </w:pPr>
            <w:r>
              <w:rPr>
                <w:sz w:val="16"/>
              </w:rPr>
              <w:t xml:space="preserve">Action 3.2.: Conduct a series of trainings and workshops for required staff in various programme areas including DDR, special needs groups, CSAC, gender, planning, M&amp;E, MIS, finance management and procurement, etc.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46" w:right="0"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108" w:right="0" w:firstLine="0"/>
              <w:jc w:val="left"/>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39" w:line="259" w:lineRule="auto"/>
              <w:ind w:left="108" w:right="0" w:firstLine="0"/>
              <w:jc w:val="left"/>
            </w:pPr>
            <w:r>
              <w:rPr>
                <w:sz w:val="22"/>
              </w:rPr>
              <w:t xml:space="preserve"> </w:t>
            </w:r>
          </w:p>
          <w:p>
            <w:pPr>
              <w:spacing w:before="0" w:after="40" w:line="259" w:lineRule="auto"/>
              <w:ind w:left="46" w:right="0" w:firstLine="0"/>
              <w:jc w:val="center"/>
            </w:pPr>
            <w:r>
              <w:rPr>
                <w:rFonts w:cs="Arial" w:hAnsi="Arial" w:eastAsia="Arial" w:ascii="Arial"/>
                <w:sz w:val="22"/>
              </w:rPr>
              <w:t xml:space="preserve">√</w:t>
            </w:r>
            <w:r>
              <w:rPr>
                <w:sz w:val="22"/>
              </w:rPr>
              <w:t xml:space="preserve"> </w:t>
            </w:r>
          </w:p>
          <w:p>
            <w:pPr>
              <w:spacing w:before="0" w:after="0" w:line="259" w:lineRule="auto"/>
              <w:ind w:left="107" w:right="0" w:firstLine="0"/>
              <w:jc w:val="center"/>
            </w:pP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39" w:line="259" w:lineRule="auto"/>
              <w:ind w:left="108" w:right="0" w:firstLine="0"/>
              <w:jc w:val="left"/>
            </w:pPr>
            <w:r>
              <w:rPr>
                <w:sz w:val="22"/>
              </w:rPr>
              <w:t xml:space="preserve"> </w:t>
            </w:r>
          </w:p>
          <w:p>
            <w:pPr>
              <w:spacing w:before="0" w:after="40" w:line="259" w:lineRule="auto"/>
              <w:ind w:left="46" w:right="0" w:firstLine="0"/>
              <w:jc w:val="center"/>
            </w:pPr>
            <w:r>
              <w:rPr>
                <w:rFonts w:cs="Arial" w:hAnsi="Arial" w:eastAsia="Arial" w:ascii="Arial"/>
                <w:sz w:val="22"/>
              </w:rPr>
              <w:t xml:space="preserve">√</w:t>
            </w:r>
            <w:r>
              <w:rPr>
                <w:sz w:val="22"/>
              </w:rPr>
              <w:t xml:space="preserve"> </w:t>
            </w:r>
          </w:p>
          <w:p>
            <w:pPr>
              <w:spacing w:before="0" w:after="0" w:line="259" w:lineRule="auto"/>
              <w:ind w:left="107" w:right="0" w:firstLine="0"/>
              <w:jc w:val="center"/>
            </w:pPr>
            <w:r>
              <w:rPr>
                <w:sz w:val="22"/>
              </w:rPr>
              <w:t xml:space="preserve"> </w:t>
            </w:r>
          </w:p>
        </w:tc>
        <w:tc>
          <w:tcPr>
            <w:tcW w:w="1166" w:type="dxa"/>
            <w:tcBorders>
              <w:top w:val="single" w:sz="4" w:color="000000"/>
              <w:left w:val="single" w:sz="4" w:color="000000"/>
              <w:bottom w:val="single" w:sz="4" w:color="000000"/>
              <w:right w:val="nil"/>
            </w:tcBorders>
            <w:vAlign w:val="center"/>
          </w:tcPr>
          <w:p>
            <w:pPr>
              <w:spacing w:before="0" w:after="47" w:line="259" w:lineRule="auto"/>
              <w:ind w:left="108" w:right="0" w:firstLine="0"/>
              <w:jc w:val="left"/>
            </w:pPr>
            <w:r>
              <w:rPr>
                <w:sz w:val="16"/>
              </w:rPr>
              <w:t xml:space="preserve"> </w:t>
            </w:r>
          </w:p>
          <w:p>
            <w:pPr>
              <w:spacing w:before="0" w:after="0" w:line="259" w:lineRule="auto"/>
              <w:ind w:left="108" w:right="0" w:firstLine="0"/>
              <w:jc w:val="left"/>
            </w:pPr>
            <w:r>
              <w:rPr>
                <w:sz w:val="16"/>
              </w:rPr>
              <w:t xml:space="preserve">NSDDRC </w:t>
            </w:r>
          </w:p>
          <w:p>
            <w:pPr>
              <w:spacing w:before="0" w:after="45" w:line="259" w:lineRule="auto"/>
              <w:ind w:left="108" w:right="0" w:firstLine="0"/>
              <w:jc w:val="left"/>
            </w:pPr>
            <w:r>
              <w:rPr>
                <w:sz w:val="16"/>
              </w:rPr>
              <w:t xml:space="preserve">UNDP jointly </w:t>
            </w:r>
          </w:p>
          <w:p>
            <w:pPr>
              <w:spacing w:before="0" w:after="0" w:line="259" w:lineRule="auto"/>
              <w:ind w:left="108" w:right="0" w:firstLine="0"/>
              <w:jc w:val="left"/>
            </w:pPr>
            <w:r>
              <w:rPr>
                <w:sz w:val="16"/>
              </w:rPr>
              <w:t xml:space="preserve"> </w:t>
            </w:r>
          </w:p>
        </w:tc>
        <w:tc>
          <w:tcPr>
            <w:tcW w:w="377" w:type="dxa"/>
            <w:tcBorders>
              <w:top w:val="single" w:sz="4" w:color="000000"/>
              <w:left w:val="nil"/>
              <w:bottom w:val="single" w:sz="4" w:color="000000"/>
              <w:right w:val="single" w:sz="4" w:color="000000"/>
            </w:tcBorders>
            <w:vAlign w:val="top"/>
          </w:tcPr>
          <w:p>
            <w:pPr>
              <w:spacing w:before="0" w:after="0" w:line="259" w:lineRule="auto"/>
              <w:ind w:left="0" w:right="0" w:firstLine="0"/>
            </w:pPr>
            <w:r>
              <w:rPr>
                <w:sz w:val="16"/>
              </w:rPr>
              <w:t xml:space="preserve">and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108" w:right="0" w:firstLine="0"/>
              <w:jc w:val="left"/>
            </w:pPr>
            <w:r>
              <w:rPr>
                <w:sz w:val="22"/>
              </w:rPr>
              <w:t xml:space="preserve">TRAC 3 </w:t>
            </w:r>
          </w:p>
        </w:tc>
        <w:tc>
          <w:tcPr>
            <w:tcW w:w="1576" w:type="dxa"/>
            <w:tcBorders>
              <w:top w:val="single" w:sz="4" w:color="000000"/>
              <w:left w:val="single" w:sz="4" w:color="000000"/>
              <w:bottom w:val="single" w:sz="4" w:color="000000"/>
              <w:right w:val="single" w:sz="4" w:color="000000"/>
            </w:tcBorders>
            <w:vAlign w:val="center"/>
          </w:tcPr>
          <w:p>
            <w:pPr>
              <w:spacing w:before="0" w:after="40" w:line="259" w:lineRule="auto"/>
              <w:ind w:left="108" w:right="0" w:firstLine="0"/>
              <w:jc w:val="left"/>
            </w:pPr>
            <w:r>
              <w:rPr/>
              <w:t xml:space="preserve">Staff </w:t>
            </w:r>
          </w:p>
          <w:p>
            <w:pPr>
              <w:spacing w:before="0" w:after="42" w:line="259" w:lineRule="auto"/>
              <w:ind w:left="108" w:right="0" w:firstLine="0"/>
              <w:jc w:val="left"/>
            </w:pPr>
            <w:r>
              <w:rPr/>
              <w:t xml:space="preserve">Training </w:t>
            </w:r>
          </w:p>
          <w:p>
            <w:pPr>
              <w:spacing w:before="0" w:after="42" w:line="259" w:lineRule="auto"/>
              <w:ind w:left="108" w:right="0" w:firstLine="0"/>
              <w:jc w:val="left"/>
            </w:pPr>
            <w:r>
              <w:rPr/>
              <w:t xml:space="preserve">Travel </w:t>
            </w:r>
          </w:p>
          <w:p>
            <w:pPr>
              <w:spacing w:before="0" w:after="40" w:line="259" w:lineRule="auto"/>
              <w:ind w:left="108" w:right="0" w:firstLine="0"/>
              <w:jc w:val="left"/>
            </w:pPr>
            <w:r>
              <w:rPr/>
              <w:t xml:space="preserve">Consultants </w:t>
            </w:r>
          </w:p>
          <w:p>
            <w:pPr>
              <w:spacing w:before="0" w:after="0" w:line="259" w:lineRule="auto"/>
              <w:ind w:left="108" w:right="0" w:firstLine="0"/>
              <w:jc w:val="left"/>
            </w:pPr>
            <w:r>
              <w:rPr/>
              <w:t xml:space="preserve">Accommodatio</w:t>
            </w:r>
          </w:p>
          <w:p>
            <w:pPr>
              <w:spacing w:before="0" w:after="42" w:line="259" w:lineRule="auto"/>
              <w:ind w:left="108" w:right="0" w:firstLine="0"/>
              <w:jc w:val="left"/>
            </w:pPr>
            <w:r>
              <w:rPr/>
              <w:t xml:space="preserve">n </w:t>
            </w:r>
          </w:p>
          <w:p>
            <w:pPr>
              <w:spacing w:before="0" w:after="40" w:line="259" w:lineRule="auto"/>
              <w:ind w:left="108" w:right="0" w:firstLine="0"/>
              <w:jc w:val="left"/>
            </w:pPr>
            <w:r>
              <w:rPr/>
              <w:t xml:space="preserve">Stationery </w:t>
            </w:r>
          </w:p>
          <w:p>
            <w:pPr>
              <w:spacing w:before="0" w:after="61" w:line="259" w:lineRule="auto"/>
              <w:ind w:left="108" w:right="0" w:firstLine="0"/>
              <w:jc w:val="left"/>
            </w:pPr>
            <w:r>
              <w:rPr/>
              <w:t xml:space="preserve">Material </w:t>
            </w:r>
          </w:p>
          <w:p>
            <w:pPr>
              <w:spacing w:before="0" w:after="0" w:line="259" w:lineRule="auto"/>
              <w:ind w:left="108" w:right="0" w:firstLine="0"/>
              <w:jc w:val="left"/>
            </w:pPr>
            <w:r>
              <w:rPr>
                <w:sz w:val="22"/>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59" w:line="240" w:lineRule="auto"/>
              <w:ind w:left="107" w:right="0" w:firstLine="0"/>
              <w:jc w:val="left"/>
            </w:pPr>
            <w:r>
              <w:rPr/>
              <w:t xml:space="preserve">M&amp;E Officer </w:t>
            </w:r>
            <w:r>
              <w:rPr/>
              <w:t xml:space="preserve">13,836  </w:t>
            </w:r>
          </w:p>
          <w:p>
            <w:pPr>
              <w:spacing w:before="0" w:after="0" w:line="259" w:lineRule="auto"/>
              <w:ind w:left="107" w:right="0" w:firstLine="0"/>
              <w:jc w:val="left"/>
            </w:pPr>
            <w:r>
              <w:rPr/>
              <w:t xml:space="preserve">Reintegration </w:t>
            </w:r>
          </w:p>
          <w:p>
            <w:pPr>
              <w:spacing w:before="0" w:after="42" w:line="259" w:lineRule="auto"/>
              <w:ind w:left="107" w:right="0" w:firstLine="0"/>
              <w:jc w:val="left"/>
            </w:pPr>
            <w:r>
              <w:rPr/>
              <w:t xml:space="preserve">Officer 13,836  </w:t>
            </w:r>
          </w:p>
          <w:p>
            <w:pPr>
              <w:spacing w:before="0" w:after="0" w:line="259" w:lineRule="auto"/>
              <w:ind w:left="107" w:right="0" w:firstLine="0"/>
              <w:jc w:val="left"/>
            </w:pPr>
            <w:r>
              <w:rPr/>
              <w:t xml:space="preserve">Community </w:t>
            </w:r>
          </w:p>
          <w:p>
            <w:pPr>
              <w:spacing w:before="0" w:after="60" w:line="240" w:lineRule="auto"/>
              <w:ind w:left="107" w:right="0" w:firstLine="0"/>
              <w:jc w:val="left"/>
            </w:pPr>
            <w:r>
              <w:rPr/>
              <w:t xml:space="preserve">Security Officer </w:t>
            </w:r>
            <w:r>
              <w:rPr/>
              <w:t xml:space="preserve">13,836  </w:t>
            </w:r>
          </w:p>
          <w:p>
            <w:pPr>
              <w:spacing w:before="0" w:after="0" w:line="259" w:lineRule="auto"/>
              <w:ind w:left="107" w:right="0" w:firstLine="0"/>
              <w:jc w:val="left"/>
            </w:pPr>
            <w:r>
              <w:rPr/>
              <w:t xml:space="preserve">Coordination </w:t>
            </w:r>
          </w:p>
          <w:p>
            <w:pPr>
              <w:spacing w:before="0" w:after="42" w:line="259" w:lineRule="auto"/>
              <w:ind w:left="107" w:right="0" w:firstLine="0"/>
              <w:jc w:val="left"/>
            </w:pPr>
            <w:r>
              <w:rPr/>
              <w:t xml:space="preserve">Officer 41,508  </w:t>
            </w:r>
          </w:p>
          <w:p>
            <w:pPr>
              <w:spacing w:before="0" w:after="0" w:line="259" w:lineRule="auto"/>
              <w:ind w:left="107" w:right="0" w:firstLine="0"/>
              <w:jc w:val="left"/>
            </w:pPr>
            <w:r>
              <w:rPr/>
              <w:t xml:space="preserve">State Office </w:t>
            </w:r>
          </w:p>
          <w:p>
            <w:pPr>
              <w:spacing w:before="0" w:after="0" w:line="259" w:lineRule="auto"/>
              <w:ind w:left="107" w:right="0" w:firstLine="0"/>
              <w:jc w:val="left"/>
            </w:pPr>
            <w:r>
              <w:rPr/>
              <w:t xml:space="preserve">Coordinator (El </w:t>
            </w:r>
          </w:p>
          <w:p>
            <w:pPr>
              <w:spacing w:before="0" w:after="0" w:line="259" w:lineRule="auto"/>
              <w:ind w:left="107" w:right="0" w:firstLine="0"/>
              <w:jc w:val="left"/>
            </w:pPr>
            <w:r>
              <w:rPr/>
              <w:t xml:space="preserve">Geneina and </w:t>
            </w:r>
          </w:p>
          <w:p>
            <w:pPr>
              <w:spacing w:before="0" w:after="40" w:line="259" w:lineRule="auto"/>
              <w:ind w:left="107" w:right="0" w:firstLine="0"/>
              <w:jc w:val="left"/>
            </w:pPr>
            <w:r>
              <w:rPr/>
              <w:t xml:space="preserve">Nyala) 192,000  </w:t>
            </w:r>
          </w:p>
          <w:p>
            <w:pPr>
              <w:spacing w:before="0" w:after="42" w:line="259" w:lineRule="auto"/>
              <w:ind w:left="107" w:right="0" w:firstLine="0"/>
              <w:jc w:val="left"/>
            </w:pPr>
            <w:r>
              <w:rPr/>
              <w:t xml:space="preserve">Training 27,000  </w:t>
            </w:r>
          </w:p>
          <w:p>
            <w:pPr>
              <w:spacing w:before="0" w:after="80" w:line="239" w:lineRule="auto"/>
              <w:ind w:left="107" w:right="0" w:firstLine="0"/>
              <w:jc w:val="left"/>
            </w:pPr>
            <w:r>
              <w:rPr/>
              <w:t xml:space="preserve">Travel and DSA for Participants  </w:t>
            </w:r>
            <w:r>
              <w:rPr/>
              <w:t xml:space="preserve">36,000 </w:t>
            </w:r>
          </w:p>
          <w:p>
            <w:pPr>
              <w:spacing w:before="0" w:after="21" w:line="259" w:lineRule="auto"/>
              <w:ind w:left="107" w:right="0" w:firstLine="0"/>
              <w:jc w:val="left"/>
            </w:pPr>
            <w:r>
              <w:rPr>
                <w:sz w:val="22"/>
              </w:rPr>
              <w:t xml:space="preserve"> </w:t>
            </w:r>
          </w:p>
          <w:p>
            <w:pPr>
              <w:spacing w:before="0" w:after="60" w:line="259" w:lineRule="auto"/>
              <w:ind w:left="107" w:right="0" w:firstLine="0"/>
              <w:jc w:val="left"/>
            </w:pPr>
            <w:r>
              <w:rPr/>
              <w:t xml:space="preserve">Total: 338,016 </w:t>
            </w:r>
          </w:p>
          <w:p>
            <w:pPr>
              <w:spacing w:before="0" w:after="40" w:line="259" w:lineRule="auto"/>
              <w:ind w:left="107" w:right="0" w:firstLine="0"/>
              <w:jc w:val="left"/>
            </w:pPr>
            <w:r>
              <w:rPr>
                <w:sz w:val="22"/>
              </w:rPr>
              <w:t xml:space="preserve"> </w:t>
            </w:r>
          </w:p>
          <w:p>
            <w:pPr>
              <w:spacing w:before="0" w:after="40" w:line="259" w:lineRule="auto"/>
              <w:ind w:left="107" w:right="0" w:firstLine="0"/>
              <w:jc w:val="center"/>
            </w:pPr>
            <w:r>
              <w:rPr>
                <w:sz w:val="22"/>
              </w:rPr>
              <w:t xml:space="preserve"> </w:t>
            </w:r>
          </w:p>
          <w:p>
            <w:pPr>
              <w:spacing w:before="0" w:after="40" w:line="259" w:lineRule="auto"/>
              <w:ind w:left="0" w:right="0" w:firstLine="0"/>
              <w:jc w:val="right"/>
            </w:pPr>
            <w:r>
              <w:rPr>
                <w:sz w:val="22"/>
              </w:rPr>
              <w:t xml:space="preserve"> </w:t>
            </w:r>
          </w:p>
          <w:p>
            <w:pPr>
              <w:spacing w:before="0" w:after="0" w:line="259" w:lineRule="auto"/>
              <w:ind w:left="0" w:right="0" w:firstLine="0"/>
              <w:jc w:val="right"/>
            </w:pPr>
            <w:r>
              <w:rPr>
                <w:sz w:val="22"/>
              </w:rPr>
              <w:t xml:space="preserve"> </w:t>
            </w:r>
          </w:p>
        </w:tc>
      </w:tr>
    </w:tbl>
    <w:p>
      <w:pPr>
        <w:spacing w:before="0" w:after="0" w:line="259" w:lineRule="auto"/>
        <w:ind w:left="-864" w:right="525" w:firstLine="0"/>
        <w:jc w:val="left"/>
      </w:pPr>
    </w:p>
    <w:tbl>
      <w:tblPr>
        <w:tblStyle w:val="TableGrid"/>
        <w:tblW w:w="14698" w:type="dxa"/>
        <w:tblInd w:w="-113" w:type="dxa"/>
        <w:tblCellMar>
          <w:top w:w="8" w:type="dxa"/>
          <w:left w:w="107" w:type="dxa"/>
          <w:bottom w:w="0" w:type="dxa"/>
          <w:right w:w="19" w:type="dxa"/>
        </w:tblCellMar>
      </w:tblPr>
      <w:tblGrid>
        <w:gridCol w:w="2850"/>
        <w:gridCol w:w="3253"/>
        <w:gridCol w:w="649"/>
        <w:gridCol w:w="596"/>
        <w:gridCol w:w="596"/>
        <w:gridCol w:w="599"/>
        <w:gridCol w:w="1543"/>
        <w:gridCol w:w="1366"/>
        <w:gridCol w:w="1576"/>
        <w:gridCol w:w="1669"/>
      </w:tblGrid>
      <w:tr>
        <w:trPr>
          <w:trHeight w:val="4735" w:hRule="atLeast"/>
        </w:trPr>
        <w:tc>
          <w:tcPr>
            <w:tcW w:w="2850" w:type="dxa"/>
            <w:tcBorders>
              <w:top w:val="single" w:sz="4" w:color="000000"/>
              <w:left w:val="single" w:sz="4" w:color="000000"/>
              <w:bottom w:val="single" w:sz="4" w:color="000000"/>
              <w:right w:val="single" w:sz="4" w:color="000000"/>
            </w:tcBorders>
            <w:vAlign w:val="top"/>
          </w:tcPr>
          <w:p>
            <w:pPr>
              <w:spacing w:before="0" w:after="60" w:line="241" w:lineRule="auto"/>
              <w:ind w:left="1" w:right="90" w:firstLine="0"/>
            </w:pPr>
            <w:r>
              <w:rPr>
                <w:rFonts w:cs="Arial" w:hAnsi="Arial" w:eastAsia="Arial" w:ascii="Arial"/>
                <w:b w:val="1"/>
                <w:sz w:val="16"/>
              </w:rPr>
              <w:t xml:space="preserve">Output 2. DDR public information  and sensitization campaign for  DDR  implemented in three Darfur states </w:t>
            </w:r>
          </w:p>
          <w:p>
            <w:pPr>
              <w:spacing w:before="0" w:after="50" w:line="254" w:lineRule="auto"/>
              <w:ind w:left="1" w:right="89" w:firstLine="0"/>
            </w:pPr>
            <w:r>
              <w:rPr>
                <w:sz w:val="16"/>
              </w:rPr>
              <w:t xml:space="preserve">Baseline: DDR concept and activities are fairly unknown at the State governments level as well as population. DPA, particularly its security components, is also mostly ignored. Indicators:  </w:t>
            </w:r>
          </w:p>
          <w:p>
            <w:pPr>
              <w:numPr>
                <w:ilvl w:val="0"/>
                <w:numId w:val="17"/>
              </w:numPr>
              <w:spacing w:before="0" w:after="61" w:line="241" w:lineRule="auto"/>
              <w:ind w:left="1" w:right="91" w:firstLine="0"/>
            </w:pPr>
            <w:r>
              <w:rPr>
                <w:sz w:val="16"/>
              </w:rPr>
              <w:t xml:space="preserve">DDR concept and activities wellinformed at the State government level and their proactive support to the project provided. </w:t>
            </w:r>
          </w:p>
          <w:p>
            <w:pPr>
              <w:numPr>
                <w:ilvl w:val="0"/>
                <w:numId w:val="17"/>
              </w:numPr>
              <w:spacing w:before="0" w:after="60" w:line="241" w:lineRule="auto"/>
              <w:ind w:left="1" w:right="91" w:firstLine="0"/>
            </w:pPr>
            <w:r>
              <w:rPr>
                <w:sz w:val="16"/>
              </w:rPr>
              <w:t xml:space="preserve">DDR concept and activities wellinformed in the population and their proactive support to the project provided. </w:t>
            </w:r>
          </w:p>
          <w:p>
            <w:pPr>
              <w:spacing w:before="0" w:after="0" w:line="259" w:lineRule="auto"/>
              <w:ind w:left="1" w:right="0" w:firstLine="0"/>
              <w:jc w:val="left"/>
            </w:pPr>
            <w:r>
              <w:rPr>
                <w:sz w:val="16"/>
              </w:rPr>
              <w:t xml:space="preserve"> </w:t>
            </w:r>
          </w:p>
        </w:tc>
        <w:tc>
          <w:tcPr>
            <w:tcW w:w="3253" w:type="dxa"/>
            <w:tcBorders>
              <w:top w:val="single" w:sz="4" w:color="000000"/>
              <w:left w:val="single" w:sz="4" w:color="000000"/>
              <w:bottom w:val="single" w:sz="4" w:color="000000"/>
              <w:right w:val="single" w:sz="4" w:color="000000"/>
            </w:tcBorders>
            <w:vAlign w:val="center"/>
          </w:tcPr>
          <w:p>
            <w:pPr>
              <w:spacing w:before="0" w:after="60" w:line="241" w:lineRule="auto"/>
              <w:ind w:left="1" w:right="90" w:firstLine="0"/>
            </w:pPr>
            <w:r>
              <w:rPr>
                <w:rFonts w:cs="Arial" w:hAnsi="Arial" w:eastAsia="Arial" w:ascii="Arial"/>
                <w:b w:val="1"/>
                <w:sz w:val="16"/>
              </w:rPr>
              <w:t xml:space="preserve">Activity Result (1) State governments and leaders of communities realized that a weapon-free society is more conducive to stability and development. DDR receives political support from regional figures. </w:t>
            </w:r>
          </w:p>
          <w:p>
            <w:pPr>
              <w:spacing w:before="0" w:after="0" w:line="242" w:lineRule="auto"/>
              <w:ind w:left="1" w:right="0" w:firstLine="0"/>
            </w:pPr>
            <w:r>
              <w:rPr>
                <w:sz w:val="16"/>
              </w:rPr>
              <w:t xml:space="preserve">Action1.1.: Conduct a series of workshops on DDR and CSAC Sensitisation </w:t>
            </w:r>
          </w:p>
          <w:p>
            <w:pPr>
              <w:spacing w:before="0" w:after="61" w:line="240" w:lineRule="auto"/>
              <w:ind w:left="1" w:right="0" w:firstLine="0"/>
            </w:pPr>
            <w:r>
              <w:rPr>
                <w:sz w:val="16"/>
              </w:rPr>
              <w:t xml:space="preserve">Campaign at the National and State DDR Commission levels </w:t>
            </w:r>
          </w:p>
          <w:p>
            <w:pPr>
              <w:spacing w:before="0" w:after="0" w:line="240" w:lineRule="auto"/>
              <w:ind w:left="1" w:right="0" w:firstLine="0"/>
            </w:pPr>
            <w:r>
              <w:rPr>
                <w:sz w:val="16"/>
              </w:rPr>
              <w:t xml:space="preserve">Action 1.2.: Conduct a series of workshops on DDR and CSAC Sensitisation </w:t>
            </w:r>
          </w:p>
          <w:p>
            <w:pPr>
              <w:spacing w:before="0" w:after="0" w:line="259" w:lineRule="auto"/>
              <w:ind w:left="1" w:right="0" w:firstLine="0"/>
              <w:jc w:val="left"/>
            </w:pPr>
            <w:r>
              <w:rPr>
                <w:sz w:val="16"/>
              </w:rPr>
              <w:t xml:space="preserve">Campaign at the community level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0" w:right="89"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89"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89" w:firstLine="0"/>
              <w:jc w:val="center"/>
            </w:pPr>
            <w:r>
              <w:rPr>
                <w:rFonts w:cs="Arial" w:hAnsi="Arial" w:eastAsia="Arial" w:ascii="Arial"/>
                <w:sz w:val="22"/>
              </w:rPr>
              <w:t xml:space="preserve">√</w:t>
            </w: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0" w:line="259" w:lineRule="auto"/>
              <w:ind w:left="0" w:right="89" w:firstLine="0"/>
              <w:jc w:val="center"/>
            </w:pPr>
            <w:r>
              <w:rPr>
                <w:rFonts w:cs="Arial" w:hAnsi="Arial" w:eastAsia="Arial" w:ascii="Arial"/>
                <w:sz w:val="22"/>
              </w:rPr>
              <w:t xml:space="preserve">√</w:t>
            </w:r>
            <w:r>
              <w:rPr>
                <w:sz w:val="22"/>
              </w:rPr>
              <w:t xml:space="preserve"> </w:t>
            </w:r>
          </w:p>
        </w:tc>
        <w:tc>
          <w:tcPr>
            <w:tcW w:w="1543" w:type="dxa"/>
            <w:tcBorders>
              <w:top w:val="single" w:sz="4" w:color="000000"/>
              <w:left w:val="single" w:sz="4" w:color="000000"/>
              <w:bottom w:val="single" w:sz="4" w:color="000000"/>
              <w:right w:val="single" w:sz="4" w:color="000000"/>
            </w:tcBorders>
            <w:vAlign w:val="center"/>
          </w:tcPr>
          <w:p>
            <w:pPr>
              <w:tabs>
                <w:tab w:val="center" w:pos="386"/>
                <w:tab w:val="center" w:pos="1177"/>
              </w:tabs>
              <w:spacing w:before="0" w:after="0" w:line="259" w:lineRule="auto"/>
              <w:ind w:left="0" w:right="0" w:firstLine="0"/>
              <w:jc w:val="left"/>
            </w:pPr>
            <w:r>
              <w:rPr>
                <w:rFonts w:cs="Calibri" w:hAnsi="Calibri" w:eastAsia="Calibri" w:ascii="Calibri"/>
                <w:sz w:val="22"/>
              </w:rPr>
              <w:t xml:space="preserve">	</w:t>
            </w:r>
            <w:r>
              <w:rPr>
                <w:sz w:val="18"/>
              </w:rPr>
              <w:t xml:space="preserve">NSDDRC 	and </w:t>
            </w:r>
          </w:p>
          <w:p>
            <w:pPr>
              <w:spacing w:before="0" w:after="0" w:line="259" w:lineRule="auto"/>
              <w:ind w:left="1" w:right="0" w:firstLine="0"/>
              <w:jc w:val="left"/>
            </w:pPr>
            <w:r>
              <w:rPr>
                <w:sz w:val="18"/>
              </w:rPr>
              <w:t xml:space="preserve">UNDP jointly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sz w:val="22"/>
              </w:rPr>
              <w:t xml:space="preserve"> </w:t>
            </w:r>
          </w:p>
        </w:tc>
        <w:tc>
          <w:tcPr>
            <w:tcW w:w="1576" w:type="dxa"/>
            <w:tcBorders>
              <w:top w:val="single" w:sz="4" w:color="000000"/>
              <w:left w:val="single" w:sz="4" w:color="000000"/>
              <w:bottom w:val="single" w:sz="4" w:color="000000"/>
              <w:right w:val="single" w:sz="4" w:color="000000"/>
            </w:tcBorders>
            <w:vAlign w:val="center"/>
          </w:tcPr>
          <w:p>
            <w:pPr>
              <w:spacing w:before="0" w:after="42" w:line="259" w:lineRule="auto"/>
              <w:ind w:left="1" w:right="0" w:firstLine="0"/>
              <w:jc w:val="left"/>
            </w:pPr>
            <w:r>
              <w:rPr/>
              <w:t xml:space="preserve">Staff </w:t>
            </w:r>
          </w:p>
          <w:p>
            <w:pPr>
              <w:spacing w:before="0" w:after="42" w:line="259" w:lineRule="auto"/>
              <w:ind w:left="1" w:right="0" w:firstLine="0"/>
              <w:jc w:val="left"/>
            </w:pPr>
            <w:r>
              <w:rPr/>
              <w:t xml:space="preserve">Workshop </w:t>
            </w:r>
          </w:p>
          <w:p>
            <w:pPr>
              <w:spacing w:before="0" w:after="40" w:line="259" w:lineRule="auto"/>
              <w:ind w:left="1" w:right="0" w:firstLine="0"/>
              <w:jc w:val="left"/>
            </w:pPr>
            <w:r>
              <w:rPr/>
              <w:t xml:space="preserve">Material </w:t>
            </w:r>
          </w:p>
          <w:p>
            <w:pPr>
              <w:spacing w:before="0" w:after="61" w:line="259" w:lineRule="auto"/>
              <w:ind w:left="1" w:right="0" w:firstLine="0"/>
              <w:jc w:val="left"/>
            </w:pPr>
            <w:r>
              <w:rPr/>
              <w:t xml:space="preserve">Venue </w:t>
            </w:r>
          </w:p>
          <w:p>
            <w:pPr>
              <w:spacing w:before="0" w:after="0" w:line="259" w:lineRule="auto"/>
              <w:ind w:left="1" w:right="0" w:firstLine="0"/>
              <w:jc w:val="left"/>
            </w:pPr>
            <w:r>
              <w:rPr>
                <w:sz w:val="22"/>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Outreach </w:t>
            </w:r>
          </w:p>
          <w:p>
            <w:pPr>
              <w:spacing w:before="0" w:after="0" w:line="259" w:lineRule="auto"/>
              <w:ind w:left="0" w:right="0" w:firstLine="0"/>
              <w:jc w:val="left"/>
            </w:pPr>
            <w:r>
              <w:rPr/>
              <w:t xml:space="preserve">Strategy </w:t>
            </w:r>
          </w:p>
          <w:p>
            <w:pPr>
              <w:spacing w:before="0" w:after="60" w:line="240" w:lineRule="auto"/>
              <w:ind w:left="0" w:right="0" w:firstLine="0"/>
              <w:jc w:val="left"/>
            </w:pPr>
            <w:r>
              <w:rPr/>
              <w:t xml:space="preserve">Development </w:t>
            </w:r>
            <w:r>
              <w:rPr/>
              <w:t xml:space="preserve">15,000  </w:t>
            </w:r>
          </w:p>
          <w:p>
            <w:pPr>
              <w:spacing w:before="0" w:after="0" w:line="259" w:lineRule="auto"/>
              <w:ind w:left="0" w:right="0" w:firstLine="0"/>
              <w:jc w:val="left"/>
            </w:pPr>
            <w:r>
              <w:rPr/>
              <w:t xml:space="preserve">Regional </w:t>
            </w:r>
          </w:p>
          <w:p>
            <w:pPr>
              <w:spacing w:before="0" w:after="42" w:line="259" w:lineRule="auto"/>
              <w:ind w:left="0" w:right="0" w:firstLine="0"/>
              <w:jc w:val="left"/>
            </w:pPr>
            <w:r>
              <w:rPr/>
              <w:t xml:space="preserve">Meeting 30,000  </w:t>
            </w:r>
          </w:p>
          <w:p>
            <w:pPr>
              <w:spacing w:before="0" w:after="0" w:line="259" w:lineRule="auto"/>
              <w:ind w:left="0" w:right="0" w:firstLine="0"/>
              <w:jc w:val="left"/>
            </w:pPr>
            <w:r>
              <w:rPr/>
              <w:t xml:space="preserve">State Meeting </w:t>
            </w:r>
          </w:p>
          <w:p>
            <w:pPr>
              <w:spacing w:before="0" w:after="40" w:line="259" w:lineRule="auto"/>
              <w:ind w:left="0" w:right="0" w:firstLine="0"/>
              <w:jc w:val="left"/>
            </w:pPr>
            <w:r>
              <w:rPr/>
              <w:t xml:space="preserve">24,000 </w:t>
            </w:r>
          </w:p>
          <w:p>
            <w:pPr>
              <w:spacing w:before="0" w:after="0" w:line="259" w:lineRule="auto"/>
              <w:ind w:left="0" w:right="0" w:firstLine="0"/>
              <w:jc w:val="left"/>
            </w:pPr>
            <w:r>
              <w:rPr/>
              <w:t xml:space="preserve">Public </w:t>
            </w:r>
          </w:p>
          <w:p>
            <w:pPr>
              <w:spacing w:before="0" w:after="0" w:line="259" w:lineRule="auto"/>
              <w:ind w:left="0" w:right="0" w:firstLine="0"/>
              <w:jc w:val="left"/>
            </w:pPr>
            <w:r>
              <w:rPr/>
              <w:t xml:space="preserve">Information </w:t>
            </w:r>
          </w:p>
          <w:p>
            <w:pPr>
              <w:spacing w:before="0" w:after="0" w:line="259" w:lineRule="auto"/>
              <w:ind w:left="0" w:right="0" w:firstLine="0"/>
              <w:jc w:val="left"/>
            </w:pPr>
            <w:r>
              <w:rPr/>
              <w:t xml:space="preserve">Officer (El </w:t>
            </w:r>
          </w:p>
          <w:p>
            <w:pPr>
              <w:spacing w:before="0" w:after="42" w:line="259" w:lineRule="auto"/>
              <w:ind w:left="0" w:right="0" w:firstLine="0"/>
              <w:jc w:val="left"/>
            </w:pPr>
            <w:r>
              <w:rPr/>
              <w:t xml:space="preserve">Fasher) 27,672  </w:t>
            </w:r>
          </w:p>
          <w:p>
            <w:pPr>
              <w:spacing w:before="0" w:after="0" w:line="259" w:lineRule="auto"/>
              <w:ind w:left="0" w:right="0" w:firstLine="0"/>
              <w:jc w:val="left"/>
            </w:pPr>
            <w:r>
              <w:rPr/>
              <w:t xml:space="preserve">Translator (El </w:t>
            </w:r>
          </w:p>
          <w:p>
            <w:pPr>
              <w:spacing w:before="0" w:after="42" w:line="259" w:lineRule="auto"/>
              <w:ind w:left="0" w:right="0" w:firstLine="0"/>
              <w:jc w:val="left"/>
            </w:pPr>
            <w:r>
              <w:rPr/>
              <w:t xml:space="preserve">Fasher)19,200  </w:t>
            </w:r>
          </w:p>
          <w:p>
            <w:pPr>
              <w:spacing w:before="0" w:after="42" w:line="259" w:lineRule="auto"/>
              <w:ind w:left="0" w:right="0" w:firstLine="0"/>
              <w:jc w:val="left"/>
            </w:pPr>
            <w:r>
              <w:rPr/>
              <w:t xml:space="preserve"> </w:t>
            </w:r>
          </w:p>
          <w:p>
            <w:pPr>
              <w:spacing w:before="0" w:after="60" w:line="259" w:lineRule="auto"/>
              <w:ind w:left="0" w:right="0" w:firstLine="0"/>
              <w:jc w:val="left"/>
            </w:pPr>
            <w:r>
              <w:rPr/>
              <w:t xml:space="preserve">Total: 115,872 </w:t>
            </w:r>
          </w:p>
          <w:p>
            <w:pPr>
              <w:spacing w:before="0" w:after="40" w:line="259" w:lineRule="auto"/>
              <w:ind w:left="0" w:right="0" w:firstLine="0"/>
              <w:jc w:val="left"/>
            </w:pPr>
            <w:r>
              <w:rPr>
                <w:sz w:val="22"/>
              </w:rPr>
              <w:t xml:space="preserve"> </w:t>
            </w:r>
          </w:p>
          <w:p>
            <w:pPr>
              <w:spacing w:before="0" w:after="0" w:line="259" w:lineRule="auto"/>
              <w:ind w:left="0" w:right="28" w:firstLine="0"/>
              <w:jc w:val="center"/>
            </w:pPr>
            <w:r>
              <w:rPr>
                <w:sz w:val="22"/>
              </w:rPr>
              <w:t xml:space="preserve"> </w:t>
            </w:r>
          </w:p>
        </w:tc>
      </w:tr>
    </w:tbl>
    <w:p>
      <w:pPr>
        <w:spacing w:before="0" w:after="0" w:line="259" w:lineRule="auto"/>
        <w:ind w:left="-864" w:right="525" w:firstLine="0"/>
        <w:jc w:val="left"/>
      </w:pPr>
    </w:p>
    <w:tbl>
      <w:tblPr>
        <w:tblStyle w:val="TableGrid"/>
        <w:tblW w:w="14698" w:type="dxa"/>
        <w:tblInd w:w="-113" w:type="dxa"/>
        <w:tblCellMar>
          <w:top w:w="8" w:type="dxa"/>
          <w:left w:w="107" w:type="dxa"/>
          <w:bottom w:w="0" w:type="dxa"/>
          <w:right w:w="0" w:type="dxa"/>
        </w:tblCellMar>
      </w:tblPr>
      <w:tblGrid>
        <w:gridCol w:w="2850"/>
        <w:gridCol w:w="3253"/>
        <w:gridCol w:w="649"/>
        <w:gridCol w:w="596"/>
        <w:gridCol w:w="596"/>
        <w:gridCol w:w="599"/>
        <w:gridCol w:w="1543"/>
        <w:gridCol w:w="1366"/>
        <w:gridCol w:w="1576"/>
        <w:gridCol w:w="1669"/>
      </w:tblGrid>
      <w:tr>
        <w:trPr>
          <w:trHeight w:val="6235" w:hRule="atLeast"/>
        </w:trPr>
        <w:tc>
          <w:tcPr>
            <w:tcW w:w="285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253" w:type="dxa"/>
            <w:tcBorders>
              <w:top w:val="single" w:sz="4" w:color="000000"/>
              <w:left w:val="single" w:sz="4" w:color="000000"/>
              <w:bottom w:val="single" w:sz="4" w:color="000000"/>
              <w:right w:val="single" w:sz="4" w:color="000000"/>
            </w:tcBorders>
            <w:vAlign w:val="center"/>
          </w:tcPr>
          <w:p>
            <w:pPr>
              <w:spacing w:before="0" w:after="60" w:line="241" w:lineRule="auto"/>
              <w:ind w:left="1" w:right="62" w:firstLine="0"/>
            </w:pPr>
            <w:r>
              <w:rPr>
                <w:rFonts w:cs="Arial" w:hAnsi="Arial" w:eastAsia="Arial" w:ascii="Arial"/>
                <w:b w:val="1"/>
                <w:sz w:val="16"/>
              </w:rPr>
              <w:t xml:space="preserve">Activity Result (2) Population including armed groups well-informed about DDR. Armed groups encouraged to enter DDR process.  </w:t>
            </w:r>
          </w:p>
          <w:p>
            <w:pPr>
              <w:spacing w:before="0" w:after="60" w:line="241" w:lineRule="auto"/>
              <w:ind w:left="1" w:right="60" w:firstLine="0"/>
            </w:pPr>
            <w:r>
              <w:rPr>
                <w:sz w:val="16"/>
              </w:rPr>
              <w:t xml:space="preserve">Action 2.1.: Develop outreach strategy for Darfur DDR and conduct a series of public information and sensitization events, including design and broadcast a series of radio programmes on DDR and CSAC Sensitisation in state capitals and communities.  </w:t>
            </w:r>
          </w:p>
          <w:p>
            <w:pPr>
              <w:spacing w:before="0" w:after="59" w:line="241" w:lineRule="auto"/>
              <w:ind w:left="1" w:right="61" w:firstLine="0"/>
            </w:pPr>
            <w:r>
              <w:rPr>
                <w:sz w:val="16"/>
              </w:rPr>
              <w:t xml:space="preserve">Action 2.2.: Conduct a number of meetings with commanders and community leaders in high priority communities to raise awareness on DDR processes and benefits </w:t>
            </w:r>
          </w:p>
          <w:p>
            <w:pPr>
              <w:spacing w:before="0" w:after="61" w:line="240" w:lineRule="auto"/>
              <w:ind w:left="1" w:right="62" w:firstLine="0"/>
            </w:pPr>
            <w:r>
              <w:rPr>
                <w:sz w:val="16"/>
              </w:rPr>
              <w:t xml:space="preserve">Action 2.2.: Lobbying and facilitating a dialogue between the key players of the process </w:t>
            </w:r>
          </w:p>
          <w:p>
            <w:pPr>
              <w:spacing w:before="0" w:after="0" w:line="259" w:lineRule="auto"/>
              <w:ind w:left="1" w:right="0" w:firstLine="0"/>
              <w:jc w:val="left"/>
            </w:pPr>
            <w:r>
              <w:rPr>
                <w:rFonts w:cs="Arial" w:hAnsi="Arial" w:eastAsia="Arial" w:ascii="Arial"/>
                <w:b w:val="1"/>
                <w:sz w:val="16"/>
              </w:rPr>
              <w:t xml:space="preserve">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Arial" w:hAnsi="Arial" w:eastAsia="Arial" w:ascii="Arial"/>
                <w:sz w:val="22"/>
              </w:rPr>
              <w:t xml:space="preserve">√</w:t>
            </w: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Arial" w:hAnsi="Arial" w:eastAsia="Arial" w:ascii="Arial"/>
                <w:sz w:val="22"/>
              </w:rPr>
              <w:t xml:space="preserve">√</w:t>
            </w:r>
            <w:r>
              <w:rPr>
                <w:sz w:val="22"/>
              </w:rPr>
              <w:t xml:space="preserve"> </w:t>
            </w:r>
          </w:p>
        </w:tc>
        <w:tc>
          <w:tcPr>
            <w:tcW w:w="1543" w:type="dxa"/>
            <w:tcBorders>
              <w:top w:val="single" w:sz="4" w:color="000000"/>
              <w:left w:val="single" w:sz="4" w:color="000000"/>
              <w:bottom w:val="single" w:sz="4" w:color="000000"/>
              <w:right w:val="single" w:sz="4" w:color="000000"/>
            </w:tcBorders>
            <w:vAlign w:val="center"/>
          </w:tcPr>
          <w:p>
            <w:pPr>
              <w:tabs>
                <w:tab w:val="center" w:pos="386"/>
                <w:tab w:val="center" w:pos="1177"/>
              </w:tabs>
              <w:spacing w:before="0" w:after="0" w:line="259" w:lineRule="auto"/>
              <w:ind w:left="0" w:right="0" w:firstLine="0"/>
              <w:jc w:val="left"/>
            </w:pPr>
            <w:r>
              <w:rPr>
                <w:rFonts w:cs="Calibri" w:hAnsi="Calibri" w:eastAsia="Calibri" w:ascii="Calibri"/>
                <w:sz w:val="22"/>
              </w:rPr>
              <w:t xml:space="preserve">	</w:t>
            </w:r>
            <w:r>
              <w:rPr>
                <w:sz w:val="18"/>
              </w:rPr>
              <w:t xml:space="preserve">NSDDRC 	and </w:t>
            </w:r>
          </w:p>
          <w:p>
            <w:pPr>
              <w:spacing w:before="0" w:after="0" w:line="259" w:lineRule="auto"/>
              <w:ind w:left="1" w:right="0" w:firstLine="0"/>
              <w:jc w:val="left"/>
            </w:pPr>
            <w:r>
              <w:rPr>
                <w:sz w:val="18"/>
              </w:rPr>
              <w:t xml:space="preserve">UNDP jointly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sz w:val="22"/>
              </w:rPr>
              <w:t xml:space="preserve"> </w:t>
            </w:r>
          </w:p>
        </w:tc>
        <w:tc>
          <w:tcPr>
            <w:tcW w:w="1576" w:type="dxa"/>
            <w:tcBorders>
              <w:top w:val="single" w:sz="4" w:color="000000"/>
              <w:left w:val="single" w:sz="4" w:color="000000"/>
              <w:bottom w:val="single" w:sz="4" w:color="000000"/>
              <w:right w:val="single" w:sz="4" w:color="000000"/>
            </w:tcBorders>
            <w:vAlign w:val="center"/>
          </w:tcPr>
          <w:p>
            <w:pPr>
              <w:spacing w:before="0" w:after="42" w:line="259" w:lineRule="auto"/>
              <w:ind w:left="1" w:right="0" w:firstLine="0"/>
              <w:jc w:val="left"/>
            </w:pPr>
            <w:r>
              <w:rPr/>
              <w:t xml:space="preserve">Staff </w:t>
            </w:r>
          </w:p>
          <w:p>
            <w:pPr>
              <w:spacing w:before="0" w:after="42" w:line="259" w:lineRule="auto"/>
              <w:ind w:left="1" w:right="0" w:firstLine="0"/>
              <w:jc w:val="left"/>
            </w:pPr>
            <w:r>
              <w:rPr/>
              <w:t xml:space="preserve">Material </w:t>
            </w:r>
          </w:p>
          <w:p>
            <w:pPr>
              <w:spacing w:before="0" w:after="40" w:line="259" w:lineRule="auto"/>
              <w:ind w:left="1" w:right="0" w:firstLine="0"/>
              <w:jc w:val="left"/>
            </w:pPr>
            <w:r>
              <w:rPr/>
              <w:t xml:space="preserve">Workshop </w:t>
            </w:r>
          </w:p>
          <w:p>
            <w:pPr>
              <w:spacing w:before="0" w:after="61" w:line="259" w:lineRule="auto"/>
              <w:ind w:left="1" w:right="0" w:firstLine="0"/>
              <w:jc w:val="left"/>
            </w:pPr>
            <w:r>
              <w:rPr/>
              <w:t xml:space="preserve">Travel </w:t>
            </w:r>
          </w:p>
          <w:p>
            <w:pPr>
              <w:spacing w:before="0" w:after="0" w:line="259" w:lineRule="auto"/>
              <w:ind w:left="1" w:right="0" w:firstLine="0"/>
              <w:jc w:val="left"/>
            </w:pPr>
            <w:r>
              <w:rPr>
                <w:sz w:val="22"/>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21" w:line="259" w:lineRule="auto"/>
              <w:ind w:left="0" w:right="0" w:firstLine="0"/>
              <w:jc w:val="right"/>
            </w:pPr>
            <w:r>
              <w:rPr>
                <w:sz w:val="22"/>
              </w:rPr>
              <w:t xml:space="preserve"> </w:t>
            </w:r>
          </w:p>
          <w:p>
            <w:pPr>
              <w:spacing w:before="0" w:after="40" w:line="259" w:lineRule="auto"/>
              <w:ind w:left="0" w:right="0" w:firstLine="0"/>
              <w:jc w:val="left"/>
            </w:pPr>
            <w:r>
              <w:rPr/>
              <w:t xml:space="preserve"> </w:t>
            </w:r>
          </w:p>
          <w:p>
            <w:pPr>
              <w:spacing w:before="0" w:after="0" w:line="259" w:lineRule="auto"/>
              <w:ind w:left="0" w:right="0" w:firstLine="0"/>
              <w:jc w:val="left"/>
            </w:pPr>
            <w:r>
              <w:rPr/>
              <w:t xml:space="preserve">Meeting at </w:t>
            </w:r>
          </w:p>
          <w:p>
            <w:pPr>
              <w:spacing w:before="0" w:after="0" w:line="259" w:lineRule="auto"/>
              <w:ind w:left="0" w:right="0" w:firstLine="0"/>
              <w:jc w:val="left"/>
            </w:pPr>
            <w:r>
              <w:rPr/>
              <w:t xml:space="preserve">Community </w:t>
            </w:r>
          </w:p>
          <w:p>
            <w:pPr>
              <w:spacing w:before="0" w:after="40" w:line="259" w:lineRule="auto"/>
              <w:ind w:left="0" w:right="0" w:firstLine="0"/>
              <w:jc w:val="left"/>
            </w:pPr>
            <w:r>
              <w:rPr/>
              <w:t xml:space="preserve">Level 20,000  </w:t>
            </w:r>
          </w:p>
          <w:p>
            <w:pPr>
              <w:spacing w:before="0" w:after="0" w:line="259" w:lineRule="auto"/>
              <w:ind w:left="0" w:right="0" w:firstLine="0"/>
              <w:jc w:val="left"/>
            </w:pPr>
            <w:r>
              <w:rPr/>
              <w:t xml:space="preserve">Radio </w:t>
            </w:r>
          </w:p>
          <w:p>
            <w:pPr>
              <w:spacing w:before="0" w:after="0" w:line="259" w:lineRule="auto"/>
              <w:ind w:left="0" w:right="0" w:firstLine="0"/>
              <w:jc w:val="left"/>
            </w:pPr>
            <w:r>
              <w:rPr/>
              <w:t xml:space="preserve">Programme </w:t>
            </w:r>
          </w:p>
          <w:p>
            <w:pPr>
              <w:spacing w:before="0" w:after="40" w:line="259" w:lineRule="auto"/>
              <w:ind w:left="0" w:right="0" w:firstLine="0"/>
              <w:jc w:val="left"/>
            </w:pPr>
            <w:r>
              <w:rPr/>
              <w:t xml:space="preserve">25,000  </w:t>
            </w:r>
          </w:p>
          <w:p>
            <w:pPr>
              <w:spacing w:before="0" w:after="59" w:line="240" w:lineRule="auto"/>
              <w:ind w:left="0" w:right="0" w:firstLine="0"/>
              <w:jc w:val="left"/>
            </w:pPr>
            <w:r>
              <w:rPr/>
              <w:t xml:space="preserve">Travel and DSA for Participants  </w:t>
            </w:r>
            <w:r>
              <w:rPr/>
              <w:t xml:space="preserve">90,000  </w:t>
            </w:r>
          </w:p>
          <w:p>
            <w:pPr>
              <w:spacing w:before="0" w:after="0" w:line="259" w:lineRule="auto"/>
              <w:ind w:left="0" w:right="0" w:firstLine="0"/>
              <w:jc w:val="left"/>
            </w:pPr>
            <w:r>
              <w:rPr/>
              <w:t xml:space="preserve">Public </w:t>
            </w:r>
          </w:p>
          <w:p>
            <w:pPr>
              <w:spacing w:before="0" w:after="0" w:line="259" w:lineRule="auto"/>
              <w:ind w:left="0" w:right="0" w:firstLine="0"/>
              <w:jc w:val="left"/>
            </w:pPr>
            <w:r>
              <w:rPr/>
              <w:t xml:space="preserve">Information (El </w:t>
            </w:r>
          </w:p>
          <w:p>
            <w:pPr>
              <w:spacing w:before="0" w:after="0" w:line="259" w:lineRule="auto"/>
              <w:ind w:left="0" w:right="0" w:firstLine="0"/>
              <w:jc w:val="left"/>
            </w:pPr>
            <w:r>
              <w:rPr/>
              <w:t xml:space="preserve">Geneina and </w:t>
            </w:r>
          </w:p>
          <w:p>
            <w:pPr>
              <w:spacing w:before="0" w:after="60" w:line="240" w:lineRule="auto"/>
              <w:ind w:left="0" w:right="0" w:firstLine="0"/>
              <w:jc w:val="left"/>
            </w:pPr>
            <w:r>
              <w:rPr/>
              <w:t xml:space="preserve">Nyala) Officer </w:t>
            </w:r>
            <w:r>
              <w:rPr/>
              <w:t xml:space="preserve">27,672  </w:t>
            </w:r>
          </w:p>
          <w:p>
            <w:pPr>
              <w:spacing w:before="0" w:after="0" w:line="259" w:lineRule="auto"/>
              <w:ind w:left="0" w:right="0" w:firstLine="0"/>
              <w:jc w:val="left"/>
            </w:pPr>
            <w:r>
              <w:rPr/>
              <w:t xml:space="preserve">Translator (El </w:t>
            </w:r>
          </w:p>
          <w:p>
            <w:pPr>
              <w:spacing w:before="0" w:after="0" w:line="259" w:lineRule="auto"/>
              <w:ind w:left="0" w:right="0" w:firstLine="0"/>
              <w:jc w:val="left"/>
            </w:pPr>
            <w:r>
              <w:rPr/>
              <w:t xml:space="preserve">Geneina and </w:t>
            </w:r>
          </w:p>
          <w:p>
            <w:pPr>
              <w:spacing w:before="0" w:after="40" w:line="259" w:lineRule="auto"/>
              <w:ind w:left="0" w:right="0" w:firstLine="0"/>
              <w:jc w:val="left"/>
            </w:pPr>
            <w:r>
              <w:rPr/>
              <w:t xml:space="preserve">Nyala) 19,200  </w:t>
            </w:r>
          </w:p>
          <w:p>
            <w:pPr>
              <w:spacing w:before="0" w:after="49" w:line="258" w:lineRule="auto"/>
              <w:ind w:left="0" w:right="0" w:firstLine="0"/>
              <w:jc w:val="left"/>
            </w:pPr>
            <w:r>
              <w:rPr/>
              <w:t xml:space="preserve">Leaflet/Material/ other 	51,000 </w:t>
            </w:r>
          </w:p>
          <w:p>
            <w:pPr>
              <w:spacing w:before="0" w:after="54" w:line="259" w:lineRule="auto"/>
              <w:ind w:left="0" w:right="0" w:firstLine="0"/>
              <w:jc w:val="left"/>
            </w:pPr>
            <w:r>
              <w:rPr/>
              <w:t xml:space="preserve"> </w:t>
            </w:r>
          </w:p>
          <w:p>
            <w:pPr>
              <w:spacing w:before="0" w:after="41" w:line="259" w:lineRule="auto"/>
              <w:ind w:left="0" w:right="0" w:firstLine="0"/>
              <w:jc w:val="left"/>
            </w:pPr>
            <w:r>
              <w:rPr/>
              <w:t xml:space="preserve">Total: 232,872</w:t>
            </w:r>
            <w:r>
              <w:rPr>
                <w:sz w:val="22"/>
              </w:rPr>
              <w:t xml:space="preserve"> </w:t>
            </w:r>
          </w:p>
          <w:p>
            <w:pPr>
              <w:spacing w:before="0" w:after="0" w:line="259" w:lineRule="auto"/>
              <w:ind w:left="0" w:right="0" w:firstLine="0"/>
              <w:jc w:val="right"/>
            </w:pPr>
            <w:r>
              <w:rPr>
                <w:sz w:val="22"/>
              </w:rPr>
              <w:t xml:space="preserve"> </w:t>
            </w:r>
          </w:p>
        </w:tc>
      </w:tr>
    </w:tbl>
    <w:tbl>
      <w:tblPr>
        <w:tblStyle w:val="TableGrid"/>
        <w:tblW w:w="14698" w:type="dxa"/>
        <w:tblInd w:w="-113" w:type="dxa"/>
        <w:tblCellMar>
          <w:top w:w="8" w:type="dxa"/>
          <w:left w:w="107" w:type="dxa"/>
          <w:bottom w:w="0" w:type="dxa"/>
          <w:right w:w="0" w:type="dxa"/>
        </w:tblCellMar>
      </w:tblPr>
      <w:tblGrid>
        <w:gridCol w:w="2850"/>
        <w:gridCol w:w="3253"/>
        <w:gridCol w:w="649"/>
        <w:gridCol w:w="596"/>
        <w:gridCol w:w="596"/>
        <w:gridCol w:w="599"/>
        <w:gridCol w:w="1543"/>
        <w:gridCol w:w="1366"/>
        <w:gridCol w:w="1576"/>
        <w:gridCol w:w="1669"/>
      </w:tblGrid>
      <w:tr>
        <w:trPr>
          <w:trHeight w:val="6190" w:hRule="atLeast"/>
        </w:trPr>
        <w:tc>
          <w:tcPr>
            <w:tcW w:w="2850" w:type="dxa"/>
            <w:tcBorders>
              <w:top w:val="single" w:sz="4" w:color="000000"/>
              <w:left w:val="single" w:sz="4" w:color="000000"/>
              <w:bottom w:val="single" w:sz="4" w:color="000000"/>
              <w:right w:val="single" w:sz="4" w:color="000000"/>
            </w:tcBorders>
            <w:vAlign w:val="top"/>
          </w:tcPr>
          <w:p>
            <w:pPr>
              <w:spacing w:before="0" w:after="61" w:line="240" w:lineRule="auto"/>
              <w:ind w:left="1" w:right="106" w:firstLine="0"/>
            </w:pPr>
            <w:r>
              <w:rPr>
                <w:rFonts w:cs="Arial" w:hAnsi="Arial" w:eastAsia="Arial" w:ascii="Arial"/>
                <w:b w:val="1"/>
                <w:sz w:val="16"/>
              </w:rPr>
              <w:t xml:space="preserve">Output 3. Action Plan for the main phase Darfur DDR programme agreed upon and designed in a participatory manner with all key stakeholders involved </w:t>
            </w:r>
          </w:p>
          <w:p>
            <w:pPr>
              <w:spacing w:before="0" w:after="45" w:line="259" w:lineRule="auto"/>
              <w:ind w:left="1" w:right="0" w:firstLine="0"/>
              <w:jc w:val="left"/>
            </w:pPr>
            <w:r>
              <w:rPr>
                <w:sz w:val="16"/>
              </w:rPr>
              <w:t xml:space="preserve">Baseline:  </w:t>
            </w:r>
          </w:p>
          <w:p>
            <w:pPr>
              <w:spacing w:before="0" w:after="50" w:line="254" w:lineRule="auto"/>
              <w:ind w:left="1" w:right="108" w:firstLine="0"/>
            </w:pPr>
            <w:r>
              <w:rPr>
                <w:sz w:val="16"/>
              </w:rPr>
              <w:t xml:space="preserve">The Darfur Peace Agreement indicates start of full-fledged DDR following completion of a comprehensive ceasefire and outlines principles for DDR in line with IDDRS   Indicator:  </w:t>
            </w:r>
          </w:p>
          <w:p>
            <w:pPr>
              <w:spacing w:before="0" w:after="0" w:line="259" w:lineRule="auto"/>
              <w:ind w:left="1" w:right="108" w:firstLine="0"/>
            </w:pPr>
            <w:r>
              <w:rPr>
                <w:sz w:val="16"/>
              </w:rPr>
              <w:t xml:space="preserve">The main phase DDR programme concept, document and workplan including financial and managerial arrangements formalize </w:t>
            </w:r>
          </w:p>
        </w:tc>
        <w:tc>
          <w:tcPr>
            <w:tcW w:w="3253" w:type="dxa"/>
            <w:tcBorders>
              <w:top w:val="single" w:sz="4" w:color="000000"/>
              <w:left w:val="single" w:sz="4" w:color="000000"/>
              <w:bottom w:val="single" w:sz="4" w:color="000000"/>
              <w:right w:val="single" w:sz="4" w:color="000000"/>
            </w:tcBorders>
            <w:vAlign w:val="top"/>
          </w:tcPr>
          <w:p>
            <w:pPr>
              <w:spacing w:before="0" w:after="60" w:line="241" w:lineRule="auto"/>
              <w:ind w:left="1" w:right="109" w:firstLine="0"/>
            </w:pPr>
            <w:r>
              <w:rPr>
                <w:rFonts w:cs="Arial" w:hAnsi="Arial" w:eastAsia="Arial" w:ascii="Arial"/>
                <w:b w:val="1"/>
                <w:sz w:val="16"/>
              </w:rPr>
              <w:t xml:space="preserve">Activity result 1: A comprehensive participatory consultative process to design Darfur DDR project concept, strategy and workplan facilitated </w:t>
            </w:r>
          </w:p>
          <w:p>
            <w:pPr>
              <w:spacing w:before="0" w:after="60" w:line="241" w:lineRule="auto"/>
              <w:ind w:left="1" w:right="108" w:firstLine="0"/>
            </w:pPr>
            <w:r>
              <w:rPr>
                <w:sz w:val="16"/>
              </w:rPr>
              <w:t xml:space="preserve">Action 1.1.: Conduct consultations and discussions with institutions and key partners on policy development, drafting of policy and joint meetings to review and agree on policies and implementation strategies </w:t>
            </w:r>
          </w:p>
          <w:p>
            <w:pPr>
              <w:spacing w:before="0" w:after="60" w:line="241" w:lineRule="auto"/>
              <w:ind w:left="1" w:right="108" w:firstLine="0"/>
            </w:pPr>
            <w:r>
              <w:rPr>
                <w:sz w:val="16"/>
              </w:rPr>
              <w:t xml:space="preserve">Action 1.2.: Develop CSAC strategy and project document under the Darfur DDR framework with linkage to National CSAC Strategy of NSDDRC   </w:t>
            </w:r>
          </w:p>
          <w:p>
            <w:pPr>
              <w:spacing w:before="0" w:after="59" w:line="241" w:lineRule="auto"/>
              <w:ind w:left="1" w:right="108" w:firstLine="0"/>
            </w:pPr>
            <w:r>
              <w:rPr>
                <w:sz w:val="16"/>
              </w:rPr>
              <w:t xml:space="preserve">Action 1.3.: Key programme tools, including baseline surveys and reintegration mapping exercises, are jointly developed by national counterparts and UNDP.  </w:t>
            </w:r>
          </w:p>
          <w:p>
            <w:pPr>
              <w:spacing w:before="0" w:after="59" w:line="241" w:lineRule="auto"/>
              <w:ind w:left="1" w:right="109" w:firstLine="0"/>
            </w:pPr>
            <w:r>
              <w:rPr>
                <w:sz w:val="16"/>
              </w:rPr>
              <w:t xml:space="preserve">Action 1.4.: Draft a full-fledged project document for  Darfur DDR and submit for endorsement to the NSDDRC  </w:t>
            </w:r>
          </w:p>
          <w:p>
            <w:pPr>
              <w:spacing w:before="0" w:after="0" w:line="259" w:lineRule="auto"/>
              <w:ind w:left="1" w:right="0" w:firstLine="0"/>
              <w:jc w:val="left"/>
            </w:pPr>
            <w:r>
              <w:rPr>
                <w:sz w:val="16"/>
              </w:rPr>
              <w:t xml:space="preserve"> </w:t>
            </w:r>
          </w:p>
        </w:tc>
        <w:tc>
          <w:tcPr>
            <w:tcW w:w="649" w:type="dxa"/>
            <w:tcBorders>
              <w:top w:val="single" w:sz="4" w:color="000000"/>
              <w:left w:val="single" w:sz="4" w:color="000000"/>
              <w:bottom w:val="single" w:sz="4" w:color="000000"/>
              <w:right w:val="single" w:sz="4" w:color="000000"/>
            </w:tcBorders>
            <w:vAlign w:val="center"/>
          </w:tcPr>
          <w:p>
            <w:pPr>
              <w:spacing w:before="0" w:after="0" w:line="259" w:lineRule="auto"/>
              <w:ind w:left="0" w:right="108" w:firstLine="0"/>
              <w:jc w:val="center"/>
            </w:pPr>
            <w:r>
              <w:rPr>
                <w:rFonts w:cs="Arial" w:hAnsi="Arial" w:eastAsia="Arial" w:ascii="Arial"/>
                <w:sz w:val="22"/>
              </w:rPr>
              <w:t xml:space="preserve">√</w:t>
            </w:r>
            <w:r>
              <w:rPr>
                <w:sz w:val="22"/>
              </w:rPr>
              <w:t xml:space="preserve"> </w:t>
            </w:r>
          </w:p>
        </w:tc>
        <w:tc>
          <w:tcPr>
            <w:tcW w:w="596" w:type="dxa"/>
            <w:tcBorders>
              <w:top w:val="single" w:sz="4" w:color="000000"/>
              <w:left w:val="single" w:sz="4" w:color="000000"/>
              <w:bottom w:val="single" w:sz="4" w:color="000000"/>
              <w:right w:val="single" w:sz="4" w:color="000000"/>
            </w:tcBorders>
            <w:vAlign w:val="top"/>
          </w:tcPr>
          <w:p>
            <w:pPr>
              <w:spacing w:before="0" w:after="40" w:line="259" w:lineRule="auto"/>
              <w:ind w:left="0" w:right="47" w:firstLine="0"/>
              <w:jc w:val="center"/>
            </w:pPr>
            <w:r>
              <w:rPr>
                <w:sz w:val="22"/>
              </w:rPr>
              <w:t xml:space="preserve"> </w:t>
            </w:r>
          </w:p>
          <w:p>
            <w:pPr>
              <w:spacing w:before="0" w:after="40" w:line="259" w:lineRule="auto"/>
              <w:ind w:left="0" w:right="47" w:firstLine="0"/>
              <w:jc w:val="center"/>
            </w:pPr>
            <w:r>
              <w:rPr>
                <w:sz w:val="22"/>
              </w:rPr>
              <w:t xml:space="preserve"> </w:t>
            </w:r>
          </w:p>
          <w:p>
            <w:pPr>
              <w:spacing w:before="0" w:after="39" w:line="259" w:lineRule="auto"/>
              <w:ind w:left="0" w:right="47" w:firstLine="0"/>
              <w:jc w:val="center"/>
            </w:pPr>
            <w:r>
              <w:rPr>
                <w:sz w:val="22"/>
              </w:rPr>
              <w:t xml:space="preserve"> </w:t>
            </w:r>
          </w:p>
          <w:p>
            <w:pPr>
              <w:spacing w:before="0" w:after="40" w:line="259" w:lineRule="auto"/>
              <w:ind w:left="0" w:right="47" w:firstLine="0"/>
              <w:jc w:val="center"/>
            </w:pPr>
            <w:r>
              <w:rPr>
                <w:sz w:val="22"/>
              </w:rPr>
              <w:t xml:space="preserve"> </w:t>
            </w:r>
          </w:p>
          <w:p>
            <w:pPr>
              <w:spacing w:before="0" w:after="40" w:line="259" w:lineRule="auto"/>
              <w:ind w:left="0" w:right="47" w:firstLine="0"/>
              <w:jc w:val="center"/>
            </w:pPr>
            <w:r>
              <w:rPr>
                <w:sz w:val="22"/>
              </w:rPr>
              <w:t xml:space="preserve"> </w:t>
            </w:r>
          </w:p>
          <w:p>
            <w:pPr>
              <w:spacing w:before="0" w:after="40" w:line="259" w:lineRule="auto"/>
              <w:ind w:left="0" w:right="108" w:firstLine="0"/>
              <w:jc w:val="center"/>
            </w:pPr>
            <w:r>
              <w:rPr>
                <w:rFonts w:cs="Arial" w:hAnsi="Arial" w:eastAsia="Arial" w:ascii="Arial"/>
                <w:sz w:val="22"/>
              </w:rPr>
              <w:t xml:space="preserve">√</w:t>
            </w:r>
            <w:r>
              <w:rPr>
                <w:sz w:val="22"/>
              </w:rPr>
              <w:t xml:space="preserve"> </w:t>
            </w:r>
          </w:p>
          <w:p>
            <w:pPr>
              <w:spacing w:before="0" w:after="0" w:line="259" w:lineRule="auto"/>
              <w:ind w:left="0" w:right="47" w:firstLine="0"/>
              <w:jc w:val="center"/>
            </w:pPr>
            <w:r>
              <w:rPr>
                <w:sz w:val="22"/>
              </w:rPr>
              <w:t xml:space="preserve"> </w:t>
            </w:r>
          </w:p>
        </w:tc>
        <w:tc>
          <w:tcPr>
            <w:tcW w:w="596" w:type="dxa"/>
            <w:tcBorders>
              <w:top w:val="single" w:sz="4" w:color="000000"/>
              <w:left w:val="single" w:sz="4" w:color="000000"/>
              <w:bottom w:val="single" w:sz="4" w:color="000000"/>
              <w:right w:val="single" w:sz="4" w:color="000000"/>
            </w:tcBorders>
            <w:vAlign w:val="center"/>
          </w:tcPr>
          <w:p>
            <w:pPr>
              <w:spacing w:before="0" w:after="0" w:line="259" w:lineRule="auto"/>
              <w:ind w:left="0" w:right="108" w:firstLine="0"/>
              <w:jc w:val="center"/>
            </w:pPr>
            <w:r>
              <w:rPr>
                <w:rFonts w:cs="Arial" w:hAnsi="Arial" w:eastAsia="Arial" w:ascii="Arial"/>
                <w:sz w:val="22"/>
              </w:rPr>
              <w:t xml:space="preserve">√</w:t>
            </w:r>
            <w:r>
              <w:rPr>
                <w:sz w:val="22"/>
              </w:rPr>
              <w:t xml:space="preserve"> </w:t>
            </w:r>
          </w:p>
        </w:tc>
        <w:tc>
          <w:tcPr>
            <w:tcW w:w="599" w:type="dxa"/>
            <w:tcBorders>
              <w:top w:val="single" w:sz="4" w:color="000000"/>
              <w:left w:val="single" w:sz="4" w:color="000000"/>
              <w:bottom w:val="single" w:sz="4" w:color="000000"/>
              <w:right w:val="single" w:sz="4" w:color="000000"/>
            </w:tcBorders>
            <w:vAlign w:val="center"/>
          </w:tcPr>
          <w:p>
            <w:pPr>
              <w:spacing w:before="0" w:after="0" w:line="259" w:lineRule="auto"/>
              <w:ind w:left="0" w:right="108" w:firstLine="0"/>
              <w:jc w:val="center"/>
            </w:pPr>
            <w:r>
              <w:rPr>
                <w:rFonts w:cs="Arial" w:hAnsi="Arial" w:eastAsia="Arial" w:ascii="Arial"/>
                <w:sz w:val="22"/>
              </w:rPr>
              <w:t xml:space="preserve">√</w:t>
            </w:r>
            <w:r>
              <w:rPr>
                <w:sz w:val="22"/>
              </w:rPr>
              <w:t xml:space="preserve"> </w:t>
            </w:r>
          </w:p>
        </w:tc>
        <w:tc>
          <w:tcPr>
            <w:tcW w:w="1543" w:type="dxa"/>
            <w:tcBorders>
              <w:top w:val="single" w:sz="4" w:color="000000"/>
              <w:left w:val="single" w:sz="4" w:color="000000"/>
              <w:bottom w:val="single" w:sz="4" w:color="000000"/>
              <w:right w:val="single" w:sz="4" w:color="000000"/>
            </w:tcBorders>
            <w:vAlign w:val="center"/>
          </w:tcPr>
          <w:p>
            <w:pPr>
              <w:tabs>
                <w:tab w:val="right" w:pos="1436"/>
              </w:tabs>
              <w:spacing w:before="0" w:after="0" w:line="259" w:lineRule="auto"/>
              <w:ind w:left="0" w:right="0" w:firstLine="0"/>
              <w:jc w:val="left"/>
            </w:pPr>
            <w:r>
              <w:rPr>
                <w:sz w:val="18"/>
              </w:rPr>
              <w:t xml:space="preserve">NSDDRC 	and </w:t>
            </w:r>
          </w:p>
          <w:p>
            <w:pPr>
              <w:spacing w:before="0" w:after="0" w:line="259" w:lineRule="auto"/>
              <w:ind w:left="1" w:right="0" w:firstLine="0"/>
              <w:jc w:val="left"/>
            </w:pPr>
            <w:r>
              <w:rPr>
                <w:sz w:val="18"/>
              </w:rPr>
              <w:t xml:space="preserve">UNDP jointly </w:t>
            </w:r>
          </w:p>
        </w:tc>
        <w:tc>
          <w:tcPr>
            <w:tcW w:w="1366"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sz w:val="22"/>
              </w:rPr>
              <w:t xml:space="preserve"> </w:t>
            </w:r>
          </w:p>
        </w:tc>
        <w:tc>
          <w:tcPr>
            <w:tcW w:w="1576" w:type="dxa"/>
            <w:tcBorders>
              <w:top w:val="single" w:sz="4" w:color="000000"/>
              <w:left w:val="single" w:sz="4" w:color="000000"/>
              <w:bottom w:val="single" w:sz="4" w:color="000000"/>
              <w:right w:val="single" w:sz="4" w:color="000000"/>
            </w:tcBorders>
            <w:vAlign w:val="center"/>
          </w:tcPr>
          <w:p>
            <w:pPr>
              <w:spacing w:before="0" w:after="42" w:line="259" w:lineRule="auto"/>
              <w:ind w:left="1" w:right="0" w:firstLine="0"/>
              <w:jc w:val="left"/>
            </w:pPr>
            <w:r>
              <w:rPr/>
              <w:t xml:space="preserve">Travel </w:t>
            </w:r>
          </w:p>
          <w:p>
            <w:pPr>
              <w:spacing w:before="0" w:after="42" w:line="259" w:lineRule="auto"/>
              <w:ind w:left="1" w:right="0" w:firstLine="0"/>
              <w:jc w:val="left"/>
            </w:pPr>
            <w:r>
              <w:rPr/>
              <w:t xml:space="preserve">Staff </w:t>
            </w:r>
          </w:p>
          <w:p>
            <w:pPr>
              <w:spacing w:before="0" w:after="40" w:line="259" w:lineRule="auto"/>
              <w:ind w:left="1" w:right="0" w:firstLine="0"/>
              <w:jc w:val="left"/>
            </w:pPr>
            <w:r>
              <w:rPr/>
              <w:t xml:space="preserve">Survey </w:t>
            </w:r>
          </w:p>
          <w:p>
            <w:pPr>
              <w:spacing w:before="0" w:after="42" w:line="259" w:lineRule="auto"/>
              <w:ind w:left="1" w:right="0" w:firstLine="0"/>
              <w:jc w:val="left"/>
            </w:pPr>
            <w:r>
              <w:rPr/>
              <w:t xml:space="preserve">Material </w:t>
            </w:r>
          </w:p>
          <w:p>
            <w:pPr>
              <w:spacing w:before="0" w:after="60" w:line="259" w:lineRule="auto"/>
              <w:ind w:left="1" w:right="0" w:firstLine="0"/>
              <w:jc w:val="left"/>
            </w:pPr>
            <w:r>
              <w:rPr/>
              <w:t xml:space="preserve">Consultants </w:t>
            </w:r>
          </w:p>
          <w:p>
            <w:pPr>
              <w:spacing w:before="0" w:after="0" w:line="259" w:lineRule="auto"/>
              <w:ind w:left="1" w:right="0" w:firstLine="0"/>
              <w:jc w:val="left"/>
            </w:pPr>
            <w:r>
              <w:rPr>
                <w:sz w:val="22"/>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59" w:line="240" w:lineRule="auto"/>
              <w:ind w:left="0" w:right="0" w:firstLine="0"/>
              <w:jc w:val="left"/>
            </w:pPr>
            <w:r>
              <w:rPr/>
              <w:t xml:space="preserve">Finance Officer </w:t>
            </w:r>
            <w:r>
              <w:rPr/>
              <w:t xml:space="preserve">55,344  </w:t>
            </w:r>
          </w:p>
          <w:p>
            <w:pPr>
              <w:spacing w:before="0" w:after="78" w:line="240" w:lineRule="auto"/>
              <w:ind w:left="0" w:right="0" w:firstLine="0"/>
              <w:jc w:val="left"/>
            </w:pPr>
            <w:r>
              <w:rPr/>
              <w:t xml:space="preserve">Planning Officer </w:t>
            </w:r>
            <w:r>
              <w:rPr/>
              <w:t xml:space="preserve">42,408  </w:t>
            </w:r>
          </w:p>
          <w:p>
            <w:pPr>
              <w:tabs>
                <w:tab w:val="right" w:pos="1562"/>
              </w:tabs>
              <w:spacing w:before="0" w:after="0" w:line="259" w:lineRule="auto"/>
              <w:ind w:left="0" w:right="0" w:firstLine="0"/>
              <w:jc w:val="left"/>
            </w:pPr>
            <w:r>
              <w:rPr/>
              <w:t xml:space="preserve">Finance 	and </w:t>
            </w:r>
          </w:p>
          <w:p>
            <w:pPr>
              <w:spacing w:before="0" w:after="0" w:line="259" w:lineRule="auto"/>
              <w:ind w:left="0" w:right="0" w:firstLine="0"/>
              <w:jc w:val="left"/>
            </w:pPr>
            <w:r>
              <w:rPr/>
              <w:t xml:space="preserve">Administration </w:t>
            </w:r>
          </w:p>
          <w:p>
            <w:pPr>
              <w:spacing w:before="0" w:after="0" w:line="259" w:lineRule="auto"/>
              <w:ind w:left="0" w:right="0" w:firstLine="0"/>
              <w:jc w:val="left"/>
            </w:pPr>
            <w:r>
              <w:rPr/>
              <w:t xml:space="preserve">Associate </w:t>
            </w:r>
          </w:p>
          <w:p>
            <w:pPr>
              <w:spacing w:before="0" w:after="40" w:line="259" w:lineRule="auto"/>
              <w:ind w:left="0" w:right="0" w:firstLine="0"/>
              <w:jc w:val="left"/>
            </w:pPr>
            <w:r>
              <w:rPr/>
              <w:t xml:space="preserve">Officer 28,800  </w:t>
            </w:r>
          </w:p>
          <w:p>
            <w:pPr>
              <w:spacing w:before="0" w:after="42" w:line="259" w:lineRule="auto"/>
              <w:ind w:left="0" w:right="0" w:firstLine="0"/>
              <w:jc w:val="left"/>
            </w:pPr>
            <w:r>
              <w:rPr/>
              <w:t xml:space="preserve">Audit 15,000  </w:t>
            </w:r>
          </w:p>
          <w:p>
            <w:pPr>
              <w:spacing w:before="0" w:after="0" w:line="259" w:lineRule="auto"/>
              <w:ind w:left="0" w:right="0" w:firstLine="0"/>
              <w:jc w:val="left"/>
            </w:pPr>
            <w:r>
              <w:rPr/>
              <w:t xml:space="preserve">Evaluation </w:t>
            </w:r>
          </w:p>
          <w:p>
            <w:pPr>
              <w:spacing w:before="0" w:after="42" w:line="259" w:lineRule="auto"/>
              <w:ind w:left="0" w:right="0" w:firstLine="0"/>
              <w:jc w:val="left"/>
            </w:pPr>
            <w:r>
              <w:rPr/>
              <w:t xml:space="preserve">15,000  </w:t>
            </w:r>
          </w:p>
          <w:p>
            <w:pPr>
              <w:spacing w:before="0" w:after="0" w:line="259" w:lineRule="auto"/>
              <w:ind w:left="0" w:right="0" w:firstLine="0"/>
              <w:jc w:val="left"/>
            </w:pPr>
            <w:r>
              <w:rPr/>
              <w:t xml:space="preserve">Travel and DSA </w:t>
            </w:r>
          </w:p>
          <w:p>
            <w:pPr>
              <w:spacing w:before="0" w:after="40" w:line="259" w:lineRule="auto"/>
              <w:ind w:left="0" w:right="0" w:firstLine="0"/>
              <w:jc w:val="left"/>
            </w:pPr>
            <w:r>
              <w:rPr/>
              <w:t xml:space="preserve">for Staff  64,800  </w:t>
            </w:r>
          </w:p>
          <w:p>
            <w:pPr>
              <w:spacing w:before="0" w:after="0" w:line="259" w:lineRule="auto"/>
              <w:ind w:left="0" w:right="0" w:firstLine="0"/>
              <w:jc w:val="left"/>
            </w:pPr>
            <w:r>
              <w:rPr/>
              <w:t xml:space="preserve">Project </w:t>
            </w:r>
          </w:p>
          <w:p>
            <w:pPr>
              <w:spacing w:before="0" w:after="53" w:line="246" w:lineRule="auto"/>
              <w:ind w:left="0" w:right="0" w:firstLine="0"/>
              <w:jc w:val="left"/>
            </w:pPr>
            <w:r>
              <w:rPr/>
              <w:t xml:space="preserve">Coordinator 	 </w:t>
            </w:r>
            <w:r>
              <w:rPr/>
              <w:t xml:space="preserve">237,168  </w:t>
            </w:r>
          </w:p>
          <w:p>
            <w:pPr>
              <w:spacing w:before="0" w:after="42" w:line="259" w:lineRule="auto"/>
              <w:ind w:left="0" w:right="0" w:firstLine="0"/>
              <w:jc w:val="left"/>
            </w:pPr>
            <w:r>
              <w:rPr/>
              <w:t xml:space="preserve">Driver  19,200  </w:t>
            </w:r>
          </w:p>
          <w:p>
            <w:pPr>
              <w:spacing w:before="0" w:after="0" w:line="240" w:lineRule="auto"/>
              <w:ind w:left="0" w:right="16" w:firstLine="0"/>
              <w:jc w:val="left"/>
            </w:pPr>
            <w:r>
              <w:rPr/>
              <w:t xml:space="preserve">Conduct baseline survey/subcontr acting  </w:t>
            </w:r>
          </w:p>
          <w:p>
            <w:pPr>
              <w:spacing w:before="0" w:after="40" w:line="259" w:lineRule="auto"/>
              <w:ind w:left="0" w:right="0" w:firstLine="0"/>
              <w:jc w:val="left"/>
            </w:pPr>
            <w:r>
              <w:rPr/>
              <w:t xml:space="preserve">180,000 </w:t>
            </w:r>
          </w:p>
          <w:p>
            <w:pPr>
              <w:spacing w:before="0" w:after="55" w:line="259" w:lineRule="auto"/>
              <w:ind w:left="0" w:right="0" w:firstLine="0"/>
              <w:jc w:val="left"/>
            </w:pPr>
            <w:r>
              <w:rPr/>
              <w:t xml:space="preserve"> </w:t>
            </w:r>
          </w:p>
          <w:p>
            <w:pPr>
              <w:spacing w:before="0" w:after="0" w:line="259" w:lineRule="auto"/>
              <w:ind w:left="0" w:right="0" w:firstLine="0"/>
              <w:jc w:val="left"/>
            </w:pPr>
            <w:r>
              <w:rPr/>
              <w:t xml:space="preserve">Total: 657,720</w:t>
            </w:r>
            <w:r>
              <w:rPr>
                <w:sz w:val="22"/>
              </w:rPr>
              <w:t xml:space="preserve"> </w:t>
            </w:r>
          </w:p>
        </w:tc>
      </w:tr>
      <w:tr>
        <w:trPr>
          <w:trHeight w:val="323" w:hRule="atLeast"/>
        </w:trPr>
        <w:tc>
          <w:tcPr>
            <w:tcW w:w="285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b w:val="1"/>
                <w:sz w:val="16"/>
              </w:rPr>
              <w:t xml:space="preserve">TOTAL </w:t>
            </w:r>
          </w:p>
        </w:tc>
        <w:tc>
          <w:tcPr>
            <w:tcW w:w="8603" w:type="dxa"/>
            <w:gridSpan w:val="7"/>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 	 	 	 	 	  	 </w:t>
            </w:r>
          </w:p>
        </w:tc>
        <w:tc>
          <w:tcPr>
            <w:tcW w:w="1576"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 </w:t>
            </w:r>
          </w:p>
        </w:tc>
        <w:tc>
          <w:tcPr>
            <w:tcW w:w="166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b w:val="1"/>
              </w:rPr>
              <w:t xml:space="preserve">2,188,680 USD*</w:t>
            </w:r>
            <w:r>
              <w:rPr>
                <w:sz w:val="22"/>
              </w:rPr>
              <w:t xml:space="preserve">  </w:t>
            </w:r>
          </w:p>
        </w:tc>
      </w:tr>
    </w:tbl>
    <w:p>
      <w:pPr>
        <w:pStyle w:val="normal"/>
        <w:spacing w:before="0" w:after="52" w:line="249" w:lineRule="auto"/>
        <w:ind w:left="175" w:right="42"/>
      </w:pPr>
      <w:r>
        <w:rPr/>
        <w:t xml:space="preserve">* This total budget for 12-month activity does not match the total budget for the entire project period of 18 months activity appearing on the RRF and the budget proposal. </w:t>
      </w:r>
    </w:p>
    <w:p>
      <w:pPr>
        <w:sectPr>
          <w:footerReference w:type="even" r:id="rId9"/>
          <w:footerReference w:type="default" r:id="rId8"/>
          <w:footerReference w:type="first" r:id="rId7"/>
          <w:pgSz w:w="16840" w:h="11900" w:orient="landscape"/>
          <w:pgMar w:footer="1209" w:left="864" w:top="1351" w:right="866" w:bottom="1501"/>
          <w:pgNumType w:fmt="decimal"/>
          <w:cols/>
        </w:sectPr>
      </w:pPr>
    </w:p>
    <w:p>
      <w:pPr>
        <w:spacing w:before="0" w:after="40" w:line="259" w:lineRule="auto"/>
        <w:ind w:left="0" w:right="0" w:firstLine="0"/>
        <w:jc w:val="left"/>
      </w:pPr>
      <w:r>
        <w:rPr>
          <w:rFonts w:cs="Arial" w:hAnsi="Arial" w:eastAsia="Arial" w:ascii="Arial"/>
          <w:b w:val="1"/>
          <w:sz w:val="22"/>
        </w:rPr>
        <w:t xml:space="preserve"> </w:t>
      </w:r>
    </w:p>
    <w:p>
      <w:pPr>
        <w:spacing w:before="0" w:after="0" w:line="259" w:lineRule="auto"/>
        <w:ind w:left="0" w:right="0" w:firstLine="0"/>
        <w:jc w:val="left"/>
      </w:pPr>
      <w:r>
        <w:rPr>
          <w:rFonts w:cs="Arial" w:hAnsi="Arial" w:eastAsia="Arial" w:ascii="Arial"/>
          <w:b w:val="1"/>
          <w:sz w:val="22"/>
        </w:rPr>
        <w:t xml:space="preserve"> </w:t>
      </w:r>
    </w:p>
    <w:p>
      <w:pPr>
        <w:spacing w:before="0" w:after="68" w:line="259" w:lineRule="auto"/>
        <w:ind w:left="-30" w:right="-27" w:firstLine="0"/>
        <w:jc w:val="left"/>
      </w:pPr>
      <w:r>
        <w:rPr>
          <w:rFonts w:cs="Calibri" w:hAnsi="Calibri" w:eastAsia="Calibri" w:ascii="Calibri"/>
          <w:sz w:val="22"/>
        </w:rPr>
        <w:drawing>
          <wp:inline distT="0" distB="0" distL="0" distR="0">
            <wp:extent cx="6134862" cy="6096"/>
            <wp:docPr id="50082" name="Group 50082"/>
            <wp:cNvGraphicFramePr/>
            <a:graphic>
              <a:graphicData uri="http://schemas.microsoft.com/office/word/2010/wordprocessingGroup">
                <wpg:wgp>
                  <wpg:cNvGrpSpPr/>
                  <wpg:grpSpPr>
                    <a:xfrm>
                      <a:off x="0" y="0"/>
                      <a:ext cx="6134862" cy="6096"/>
                      <a:chOff x="0" y="0"/>
                      <a:chExt cx="6134862" cy="6096"/>
                    </a:xfrm>
                  </wpg:grpSpPr>
                  <wps:wsp>
                    <wps:cNvPr id="62686" name="Shape 62686"/>
                    <wps:cNvSpPr/>
                    <wps:spPr>
                      <a:xfrm>
                        <a:off x="0" y="0"/>
                        <a:ext cx="6134862" cy="9144"/>
                      </a:xfrm>
                      <a:custGeom>
                        <a:pathLst>
                          <a:path w="6134862" h="9144">
                            <a:moveTo>
                              <a:pt x="0" y="0"/>
                            </a:moveTo>
                            <a:lnTo>
                              <a:pt x="6134862" y="0"/>
                            </a:lnTo>
                            <a:lnTo>
                              <a:pt x="6134862"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2417"/>
        </w:tabs>
        <w:spacing w:before="0" w:after="117" w:line="259" w:lineRule="auto"/>
        <w:ind w:left="-15" w:firstLine="0"/>
      </w:pPr>
      <w:r>
        <w:rPr>
          <w:sz w:val="28"/>
        </w:rPr>
        <w:t xml:space="preserve">V.</w:t>
      </w:r>
      <w:r>
        <w:rPr>
          <w:rFonts w:cs="Arial" w:hAnsi="Arial" w:eastAsia="Arial" w:ascii="Arial"/>
          <w:sz w:val="28"/>
        </w:rPr>
        <w:t xml:space="preserve"> 	</w:t>
      </w:r>
      <w:r>
        <w:rPr>
          <w:sz w:val="28"/>
        </w:rPr>
        <w:t xml:space="preserve">M</w:t>
      </w:r>
      <w:r>
        <w:rPr/>
        <w:t xml:space="preserve">ANAGEMENT </w:t>
      </w:r>
      <w:r>
        <w:rPr>
          <w:sz w:val="28"/>
        </w:rPr>
        <w:t xml:space="preserve">A</w:t>
      </w:r>
      <w:r>
        <w:rPr/>
        <w:t xml:space="preserve">RRANGEMENTS</w:t>
      </w:r>
      <w:r>
        <w:rPr>
          <w:sz w:val="28"/>
        </w:rPr>
        <w:t xml:space="preserve"> </w:t>
      </w:r>
    </w:p>
    <w:p>
      <w:pPr>
        <w:spacing w:before="0" w:after="40" w:line="259" w:lineRule="auto"/>
        <w:ind w:left="0" w:right="0" w:firstLine="0"/>
        <w:jc w:val="left"/>
      </w:pPr>
      <w:r>
        <w:rPr/>
        <w:t xml:space="preserve"> </w:t>
      </w:r>
    </w:p>
    <w:p>
      <w:pPr>
        <w:pStyle w:val="normal"/>
        <w:spacing w:before="0" w:after="52" w:line="249" w:lineRule="auto"/>
        <w:ind w:left="10" w:right="42"/>
      </w:pPr>
      <w:r>
        <w:rPr/>
        <w:t xml:space="preserve">The current project for DDR in Darfur will be managed by UNDP under Direct Implementation (DIM) modalities and coordinated within the overall framework and work plan of the UNDP DDR Section.  UNDP will also be responsible for managing funds and for further resource mobilization for the DDR in Darfur and ensuring timely delivery of outputs.  </w:t>
      </w:r>
    </w:p>
    <w:p>
      <w:pPr>
        <w:spacing w:before="0" w:after="42" w:line="259" w:lineRule="auto"/>
        <w:ind w:left="0" w:right="0" w:firstLine="0"/>
        <w:jc w:val="left"/>
      </w:pPr>
      <w:r>
        <w:rPr/>
        <w:t xml:space="preserve"> </w:t>
      </w:r>
    </w:p>
    <w:p>
      <w:pPr>
        <w:pStyle w:val="normal"/>
        <w:spacing w:before="0" w:after="52" w:line="249" w:lineRule="auto"/>
        <w:ind w:left="10" w:right="42"/>
      </w:pPr>
      <w:r>
        <w:rPr/>
        <w:t xml:space="preserve">Overall, because the </w:t>
      </w:r>
      <w:r>
        <w:rPr>
          <w:shd w:val="clear" w:color="auto" w:fill="e0e0e0"/>
        </w:rPr>
        <w:t xml:space="preserve">Preparatory Support Project for DDR in Darfur</w:t>
      </w:r>
      <w:r>
        <w:rPr/>
        <w:t xml:space="preserve"> is designed to support, and is closely coordinated with, the activities of the NSDDRC, the planning and implementation of activities will be undertaken in close collaboration with national counterparts. </w:t>
      </w:r>
    </w:p>
    <w:p>
      <w:pPr>
        <w:spacing w:before="0" w:after="42" w:line="259" w:lineRule="auto"/>
        <w:ind w:left="0" w:right="0" w:firstLine="0"/>
        <w:jc w:val="left"/>
      </w:pPr>
      <w:r>
        <w:rPr/>
        <w:t xml:space="preserve"> </w:t>
      </w:r>
    </w:p>
    <w:p>
      <w:pPr>
        <w:pStyle w:val="heading2"/>
        <w:spacing w:before="0" w:after="46" w:line="253" w:lineRule="auto"/>
        <w:ind w:left="10"/>
      </w:pPr>
      <w:r>
        <w:rPr/>
        <w:t xml:space="preserve">Project Board </w:t>
      </w:r>
    </w:p>
    <w:p>
      <w:pPr>
        <w:pStyle w:val="normal"/>
        <w:spacing w:before="0" w:after="52" w:line="249" w:lineRule="auto"/>
        <w:ind w:left="10" w:right="42"/>
      </w:pPr>
      <w:r>
        <w:rPr/>
        <w:t xml:space="preserve">The Project Board is the group responsible for making by consensus management decisions for a project when guidance is required by the Project Manager, including recommendation for Responsible Parties approval of project plans and revisions. In order to ensure UNDP’s ultimate accountability, Project Board decisions should be made in accordance to standards that shall ensure best value to money, fairness, integrity, transparency and effective international competition. In case a consensus cannot be reached, final decision shall rest with the UNDP Programme Manager. Project reviews by this group are made at designated decision points during the running of a project, or as necessary when raised by the Project Manager. This group is consulted by the Project Manager for decisions when PM tolerances (normally in terms of time and budget) have been exceeded. </w:t>
      </w:r>
    </w:p>
    <w:p>
      <w:pPr>
        <w:pStyle w:val="normal"/>
        <w:spacing w:before="0" w:after="52" w:line="249" w:lineRule="auto"/>
        <w:ind w:left="10" w:right="42"/>
      </w:pPr>
      <w:r>
        <w:rPr/>
        <w:t xml:space="preserve">Based on the approved annual work plan (AWP), the Project Board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  In addition, it approves the appointment and responsibilities of the Project Manager and any delegation of its Project Assurance responsibilities. </w:t>
      </w:r>
    </w:p>
    <w:p>
      <w:pPr>
        <w:pStyle w:val="normal"/>
        <w:spacing w:before="0" w:after="52" w:line="249" w:lineRule="auto"/>
        <w:ind w:left="10" w:right="42"/>
      </w:pPr>
      <w:r>
        <w:rPr/>
        <w:t xml:space="preserve">Composition and organisation:  This group contains three roles, including:  </w:t>
      </w:r>
    </w:p>
    <w:p>
      <w:pPr>
        <w:pStyle w:val="normal"/>
        <w:numPr>
          <w:ilvl w:val="0"/>
          <w:numId w:val="10"/>
        </w:numPr>
        <w:spacing w:before="0" w:after="52" w:line="249" w:lineRule="auto"/>
        <w:ind w:left="720" w:right="42" w:hanging="720"/>
      </w:pPr>
      <w:r>
        <w:rPr/>
        <w:t xml:space="preserve">Executive: individual representing the project ownership to chair the group.  </w:t>
      </w:r>
    </w:p>
    <w:p>
      <w:pPr>
        <w:pStyle w:val="normal"/>
        <w:numPr>
          <w:ilvl w:val="0"/>
          <w:numId w:val="10"/>
        </w:numPr>
        <w:spacing w:before="0" w:after="52" w:line="249" w:lineRule="auto"/>
        <w:ind w:left="720" w:right="42" w:hanging="720"/>
      </w:pPr>
      <w:r>
        <w:rPr/>
        <w:t xml:space="preserve">Senior Supplier: individual or group representing the interests of the parties concerned which provide funding and/or technical expertise to the project. The Senior Supplier’s primary function within the Board is to provide guidance regarding the technical feasibility of the project. </w:t>
      </w:r>
    </w:p>
    <w:p>
      <w:pPr>
        <w:pStyle w:val="normal"/>
        <w:numPr>
          <w:ilvl w:val="0"/>
          <w:numId w:val="10"/>
        </w:numPr>
        <w:spacing w:before="0" w:after="52" w:line="249" w:lineRule="auto"/>
        <w:ind w:left="720" w:right="42" w:hanging="720"/>
      </w:pPr>
      <w:r>
        <w:rPr/>
        <w:t xml:space="preserve">Senior Beneficiary: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pPr>
        <w:spacing w:before="0" w:after="43" w:line="259" w:lineRule="auto"/>
        <w:ind w:left="0" w:right="0" w:firstLine="0"/>
        <w:jc w:val="left"/>
      </w:pPr>
      <w:r>
        <w:rPr/>
        <w:t xml:space="preserve"> </w:t>
      </w:r>
    </w:p>
    <w:p>
      <w:pPr>
        <w:pStyle w:val="heading2"/>
        <w:spacing w:before="0" w:after="46" w:line="253" w:lineRule="auto"/>
        <w:ind w:left="10"/>
      </w:pPr>
      <w:r>
        <w:rPr/>
        <w:t xml:space="preserve">Executive (Deputy Country Director of Programme) </w:t>
      </w:r>
    </w:p>
    <w:p>
      <w:pPr>
        <w:pStyle w:val="normal"/>
        <w:spacing w:before="0" w:after="52" w:line="249" w:lineRule="auto"/>
        <w:ind w:left="10" w:right="42"/>
      </w:pPr>
      <w:r>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a cost-conscious approach to the project, balancing the demands of beneficiary and supplier. </w:t>
      </w:r>
    </w:p>
    <w:p>
      <w:pPr>
        <w:spacing w:before="0" w:after="43" w:line="259" w:lineRule="auto"/>
        <w:ind w:left="0" w:right="0" w:firstLine="0"/>
        <w:jc w:val="left"/>
      </w:pPr>
      <w:r>
        <w:rPr/>
        <w:t xml:space="preserve"> </w:t>
      </w:r>
    </w:p>
    <w:p>
      <w:pPr>
        <w:pStyle w:val="heading2"/>
        <w:spacing w:before="0" w:after="44" w:line="253" w:lineRule="auto"/>
        <w:ind w:left="10"/>
      </w:pPr>
      <w:r>
        <w:rPr/>
        <w:t xml:space="preserve">Senior Beneficiary (Northern Sudan DDR Commission) </w:t>
      </w:r>
    </w:p>
    <w:p>
      <w:pPr>
        <w:pStyle w:val="normal"/>
        <w:spacing w:before="0" w:after="52" w:line="249" w:lineRule="auto"/>
        <w:ind w:left="10" w:right="42"/>
      </w:pPr>
      <w:r>
        <w:rPr/>
        <w:t xml:space="preserve">The Senior Beneficiary is responsible for validating the needs and for monitoring that the solution will meet those needs within the constraints of the project. The role represents the interests of all those who will benefit from the project, or those for whom the deliverables resulting from activities will achieve specific output targets.  The Senior Beneficiary role monitors progress against targets and quality criteria.  </w:t>
      </w:r>
    </w:p>
    <w:p>
      <w:pPr>
        <w:spacing w:before="0" w:after="43" w:line="259" w:lineRule="auto"/>
        <w:ind w:left="0" w:right="0" w:firstLine="0"/>
        <w:jc w:val="left"/>
      </w:pPr>
      <w:r>
        <w:rPr/>
        <w:t xml:space="preserve"> </w:t>
      </w:r>
    </w:p>
    <w:p>
      <w:pPr>
        <w:pStyle w:val="heading2"/>
        <w:spacing w:before="0" w:after="44" w:line="253" w:lineRule="auto"/>
        <w:ind w:left="10"/>
      </w:pPr>
      <w:r>
        <w:rPr/>
        <w:t xml:space="preserve">Senior Supplier (Donors/UNDP) </w:t>
      </w:r>
    </w:p>
    <w:p>
      <w:pPr>
        <w:pStyle w:val="normal"/>
        <w:spacing w:before="0" w:after="52" w:line="249" w:lineRule="auto"/>
        <w:ind w:left="10" w:right="42"/>
      </w:pPr>
      <w:r>
        <w:rPr/>
        <w:t xml:space="preserve">The Senior Supplier represents the interests of the parties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w:t>
      </w:r>
    </w:p>
    <w:p>
      <w:pPr>
        <w:spacing w:before="0" w:after="0" w:line="259" w:lineRule="auto"/>
        <w:ind w:left="0" w:right="0" w:firstLine="0"/>
        <w:jc w:val="left"/>
      </w:pPr>
      <w:r>
        <w:rPr>
          <w:sz w:val="22"/>
        </w:rPr>
        <w:t xml:space="preserve"> </w:t>
      </w:r>
    </w:p>
    <w:p>
      <w:pPr>
        <w:spacing w:before="0" w:after="40" w:line="259" w:lineRule="auto"/>
        <w:ind w:left="0" w:right="0" w:firstLine="0"/>
        <w:jc w:val="left"/>
      </w:pPr>
      <w:r>
        <w:rPr>
          <w:rFonts w:cs="Arial" w:hAnsi="Arial" w:eastAsia="Arial" w:ascii="Arial"/>
          <w:b w:val="1"/>
          <w:sz w:val="22"/>
        </w:rPr>
        <w:t xml:space="preserve"> </w:t>
      </w:r>
    </w:p>
    <w:p>
      <w:pPr>
        <w:spacing w:before="0" w:after="20" w:line="259" w:lineRule="auto"/>
        <w:ind w:left="0" w:right="0" w:firstLine="0"/>
        <w:jc w:val="left"/>
      </w:pPr>
      <w:r>
        <w:rPr>
          <w:rFonts w:cs="Arial" w:hAnsi="Arial" w:eastAsia="Arial" w:ascii="Arial"/>
          <w:b w:val="1"/>
          <w:sz w:val="22"/>
        </w:rPr>
        <w:t xml:space="preserve"> </w:t>
      </w:r>
    </w:p>
    <w:p>
      <w:pPr>
        <w:spacing w:before="0" w:after="42" w:line="259" w:lineRule="auto"/>
        <w:ind w:left="0" w:right="0" w:firstLine="0"/>
        <w:jc w:val="left"/>
      </w:pPr>
      <w:r>
        <w:rPr/>
        <w:t xml:space="preserve"> </w:t>
      </w:r>
    </w:p>
    <w:p>
      <w:pPr>
        <w:pStyle w:val="heading2"/>
        <w:spacing w:before="0" w:after="46" w:line="253" w:lineRule="auto"/>
        <w:ind w:left="10"/>
      </w:pPr>
      <w:r>
        <w:rPr/>
        <w:t xml:space="preserve">Project Manager (UNDP DDR Programme Manager) </w:t>
      </w:r>
    </w:p>
    <w:p>
      <w:pPr>
        <w:pStyle w:val="normal"/>
        <w:spacing w:before="0" w:after="52" w:line="249" w:lineRule="auto"/>
        <w:ind w:left="10" w:right="42"/>
      </w:pPr>
      <w:r>
        <w:rPr/>
        <w:t xml:space="preserve">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pPr>
        <w:spacing w:before="0" w:after="43" w:line="259" w:lineRule="auto"/>
        <w:ind w:left="0" w:right="0" w:firstLine="0"/>
        <w:jc w:val="left"/>
      </w:pPr>
      <w:r>
        <w:rPr/>
        <w:t xml:space="preserve"> </w:t>
      </w:r>
    </w:p>
    <w:p>
      <w:pPr>
        <w:pStyle w:val="heading2"/>
        <w:spacing w:before="0" w:after="44" w:line="253" w:lineRule="auto"/>
        <w:ind w:left="10"/>
      </w:pPr>
      <w:r>
        <w:rPr/>
        <w:t xml:space="preserve">Project Assurance (UNDP Programme Officer) </w:t>
      </w:r>
    </w:p>
    <w:p>
      <w:pPr>
        <w:pStyle w:val="normal"/>
        <w:spacing w:before="0" w:after="52" w:line="249" w:lineRule="auto"/>
        <w:ind w:left="10" w:right="42"/>
      </w:pPr>
      <w:r>
        <w:rPr/>
        <w:t xml:space="preserve">Project Assurance is the responsibility of each Project Board member.  The Project Assurance role supports the Project Board by carrying out objective and independent project oversight and monitoring functions.  This role ensures appropriate project management milestones are managed and completed.  </w:t>
      </w:r>
    </w:p>
    <w:p>
      <w:pPr>
        <w:spacing w:before="0" w:after="43" w:line="259" w:lineRule="auto"/>
        <w:ind w:left="0" w:right="0" w:firstLine="0"/>
        <w:jc w:val="left"/>
      </w:pPr>
      <w:r>
        <w:rPr/>
        <w:t xml:space="preserve"> </w:t>
      </w:r>
    </w:p>
    <w:p>
      <w:pPr>
        <w:pStyle w:val="heading2"/>
        <w:spacing w:before="0" w:after="46" w:line="253" w:lineRule="auto"/>
        <w:ind w:left="10"/>
      </w:pPr>
      <w:r>
        <w:rPr/>
        <w:t xml:space="preserve">Project Support (UNDP DDR Programme Support Unit) </w:t>
      </w:r>
    </w:p>
    <w:p>
      <w:pPr>
        <w:pStyle w:val="normal"/>
        <w:spacing w:before="0" w:after="52" w:line="249" w:lineRule="auto"/>
        <w:ind w:left="10" w:right="42"/>
      </w:pPr>
      <w:r>
        <w:rPr/>
        <w:t xml:space="preserve">The Project Support role provides project administration, management and technical support to the Project Manager as required by the needs of the individual project or Project Manager. The provision of any Project Support on a formal basis is optional.  It is necessary to keep Project Support and Project Assurance roles separate in order to maintain the independence of Project Assurance.  </w:t>
      </w:r>
    </w:p>
    <w:p>
      <w:pPr>
        <w:spacing w:before="0" w:after="62" w:line="259" w:lineRule="auto"/>
        <w:ind w:left="0" w:right="0" w:firstLine="0"/>
        <w:jc w:val="left"/>
      </w:pPr>
      <w:r>
        <w:rPr/>
        <w:t xml:space="preserve"> </w:t>
      </w:r>
    </w:p>
    <w:p>
      <w:pPr>
        <w:spacing w:before="0" w:after="0" w:line="259" w:lineRule="auto"/>
        <w:ind w:left="0" w:right="0" w:firstLine="0"/>
        <w:jc w:val="left"/>
      </w:pPr>
      <w:r>
        <w:rPr>
          <w:rFonts w:cs="Arial" w:hAnsi="Arial" w:eastAsia="Arial" w:ascii="Arial"/>
          <w:i w:val="1"/>
          <w:sz w:val="22"/>
        </w:rPr>
        <w:t xml:space="preserve"> </w:t>
      </w:r>
    </w:p>
    <w:p>
      <w:pPr>
        <w:spacing w:before="0" w:after="40" w:line="259" w:lineRule="auto"/>
        <w:ind w:left="162" w:right="0" w:firstLine="0"/>
        <w:jc w:val="left"/>
      </w:pPr>
      <w:r>
        <w:drawing>
          <wp:inline distT="0" distB="0" distL="0" distR="0">
            <wp:extent cx="5276089" cy="3401568"/>
            <wp:effectExtent l="0" t="0" r="0" b="0"/>
            <wp:docPr id="60001" name="Picture 60001"/>
            <wp:cNvGraphicFramePr/>
            <a:graphic>
              <a:graphicData uri="http://schemas.openxmlformats.org/drawingml/2006/picture">
                <pic:pic xmlns:pic="http://schemas.openxmlformats.org/drawingml/2006/picture">
                  <pic:nvPicPr>
                    <pic:cNvPr id="60001" name="Picture 60001"/>
                    <pic:cNvPicPr/>
                  </pic:nvPicPr>
                  <pic:blipFill>
                    <a:blip r:embed="rId22"/>
                    <a:stretch>
                      <a:fillRect/>
                    </a:stretch>
                  </pic:blipFill>
                  <pic:spPr>
                    <a:xfrm>
                      <a:off x="0" y="0"/>
                      <a:ext cx="5276089" cy="3401568"/>
                    </a:xfrm>
                    <a:prstGeom prst="rect">
                      <a:avLst/>
                    </a:prstGeom>
                  </pic:spPr>
                </pic:pic>
              </a:graphicData>
            </a:graphic>
          </wp:inline>
        </w:drawing>
      </w:r>
    </w:p>
    <w:p>
      <w:pPr>
        <w:spacing w:before="0" w:after="0" w:line="259" w:lineRule="auto"/>
        <w:ind w:left="0" w:right="183" w:firstLine="0"/>
        <w:jc w:val="right"/>
      </w:pPr>
      <w:r>
        <w:rPr>
          <w:rFonts w:cs="Arial" w:hAnsi="Arial" w:eastAsia="Arial" w:ascii="Arial"/>
          <w:i w:val="1"/>
          <w:sz w:val="22"/>
        </w:rPr>
        <w:t xml:space="preserve"> </w:t>
      </w:r>
    </w:p>
    <w:p>
      <w:pPr>
        <w:spacing w:before="0" w:after="2937" w:line="259" w:lineRule="auto"/>
        <w:ind w:left="0" w:right="0" w:firstLine="0"/>
        <w:jc w:val="left"/>
      </w:pPr>
      <w:r>
        <w:rPr>
          <w:rFonts w:cs="Arial" w:hAnsi="Arial" w:eastAsia="Arial" w:ascii="Arial"/>
          <w:i w:val="1"/>
          <w:sz w:val="22"/>
        </w:rPr>
        <w:t xml:space="preserve"> </w:t>
      </w:r>
    </w:p>
    <w:p>
      <w:pPr>
        <w:spacing w:before="0" w:after="0" w:line="259" w:lineRule="auto"/>
        <w:ind w:left="0" w:right="0" w:firstLine="0"/>
        <w:jc w:val="left"/>
      </w:pPr>
      <w:r>
        <w:rPr>
          <w:sz w:val="22"/>
        </w:rPr>
        <w:t xml:space="preserve"> </w:t>
      </w:r>
    </w:p>
    <w:p>
      <w:pPr>
        <w:spacing w:before="0" w:after="42" w:line="259" w:lineRule="auto"/>
        <w:ind w:left="0" w:right="0" w:firstLine="0"/>
        <w:jc w:val="left"/>
      </w:pPr>
      <w:r>
        <w:rPr>
          <w:sz w:val="22"/>
        </w:rPr>
        <w:t xml:space="preserve"> </w:t>
      </w:r>
    </w:p>
    <w:p>
      <w:pPr>
        <w:pStyle w:val="heading2"/>
        <w:spacing w:before="0" w:after="40" w:line="259" w:lineRule="auto"/>
        <w:ind w:left="0" w:firstLine="0"/>
      </w:pPr>
      <w:r>
        <w:rPr>
          <w:rFonts w:cs="Arial" w:hAnsi="Arial" w:eastAsia="Arial" w:ascii="Arial"/>
          <w:i w:val="1"/>
          <w:sz w:val="22"/>
        </w:rPr>
        <w:t xml:space="preserve">Structure of the Project Unit of the </w:t>
      </w:r>
      <w:r>
        <w:rPr>
          <w:rFonts w:cs="Arial" w:hAnsi="Arial" w:eastAsia="Arial" w:ascii="Arial"/>
          <w:i w:val="1"/>
          <w:sz w:val="22"/>
          <w:shd w:val="clear" w:color="auto" w:fill="e0e0e0"/>
        </w:rPr>
        <w:t xml:space="preserve">Preparatory Support Project for DDR in Darfur</w:t>
      </w:r>
      <w:r>
        <w:rPr>
          <w:rFonts w:cs="Arial" w:hAnsi="Arial" w:eastAsia="Arial" w:ascii="Arial"/>
          <w:i w:val="1"/>
          <w:sz w:val="22"/>
        </w:rPr>
        <w:t xml:space="preserve">  </w:t>
      </w:r>
    </w:p>
    <w:p>
      <w:pPr>
        <w:spacing w:before="0" w:after="0" w:line="259" w:lineRule="auto"/>
        <w:ind w:left="0" w:right="0" w:firstLine="0"/>
        <w:jc w:val="left"/>
      </w:pPr>
      <w:r>
        <w:rPr>
          <w:rFonts w:cs="Arial" w:hAnsi="Arial" w:eastAsia="Arial" w:ascii="Arial"/>
          <w:i w:val="1"/>
          <w:sz w:val="22"/>
        </w:rPr>
        <w:t xml:space="preserve"> </w:t>
      </w:r>
    </w:p>
    <w:p>
      <w:pPr>
        <w:spacing w:before="0" w:after="324" w:line="259" w:lineRule="auto"/>
        <w:ind w:left="266" w:right="-50" w:firstLine="0"/>
        <w:jc w:val="left"/>
      </w:pPr>
      <w:r>
        <w:drawing>
          <wp:inline distT="0" distB="0" distL="0" distR="0">
            <wp:extent cx="5961888" cy="6062472"/>
            <wp:effectExtent l="0" t="0" r="0" b="0"/>
            <wp:docPr id="60003" name="Picture 60003"/>
            <wp:cNvGraphicFramePr/>
            <a:graphic>
              <a:graphicData uri="http://schemas.openxmlformats.org/drawingml/2006/picture">
                <pic:pic xmlns:pic="http://schemas.openxmlformats.org/drawingml/2006/picture">
                  <pic:nvPicPr>
                    <pic:cNvPr id="60003" name="Picture 60003"/>
                    <pic:cNvPicPr/>
                  </pic:nvPicPr>
                  <pic:blipFill>
                    <a:blip r:embed="rId23"/>
                    <a:stretch>
                      <a:fillRect/>
                    </a:stretch>
                  </pic:blipFill>
                  <pic:spPr>
                    <a:xfrm>
                      <a:off x="0" y="0"/>
                      <a:ext cx="5961888" cy="6062472"/>
                    </a:xfrm>
                    <a:prstGeom prst="rect">
                      <a:avLst/>
                    </a:prstGeom>
                  </pic:spPr>
                </pic:pic>
              </a:graphicData>
            </a:graphic>
          </wp:inline>
        </w:drawing>
      </w:r>
    </w:p>
    <w:p>
      <w:pPr>
        <w:spacing w:before="0" w:after="40" w:line="259" w:lineRule="auto"/>
        <w:ind w:left="0" w:right="0" w:firstLine="0"/>
        <w:jc w:val="left"/>
      </w:pPr>
      <w:r>
        <w:rPr>
          <w:rFonts w:cs="Arial" w:hAnsi="Arial" w:eastAsia="Arial" w:ascii="Arial"/>
          <w:i w:val="1"/>
          <w:sz w:val="22"/>
        </w:rPr>
        <w:t xml:space="preserve"> </w:t>
      </w:r>
    </w:p>
    <w:p>
      <w:pPr>
        <w:spacing w:before="0" w:after="0" w:line="259" w:lineRule="auto"/>
        <w:ind w:left="0" w:right="0" w:firstLine="0"/>
        <w:jc w:val="left"/>
      </w:pPr>
      <w:r>
        <w:rPr>
          <w:rFonts w:cs="Arial" w:hAnsi="Arial" w:eastAsia="Arial" w:ascii="Arial"/>
          <w:i w:val="1"/>
          <w:sz w:val="22"/>
        </w:rPr>
        <w:t xml:space="preserve"> </w:t>
      </w:r>
    </w:p>
    <w:p>
      <w:pPr>
        <w:spacing w:before="0" w:after="21" w:line="259" w:lineRule="auto"/>
        <w:ind w:left="-30" w:right="-28" w:firstLine="0"/>
        <w:jc w:val="left"/>
      </w:pPr>
      <w:r>
        <w:rPr>
          <w:rFonts w:cs="Calibri" w:hAnsi="Calibri" w:eastAsia="Calibri" w:ascii="Calibri"/>
          <w:sz w:val="22"/>
        </w:rPr>
        <w:drawing>
          <wp:inline distT="0" distB="0" distL="0" distR="0">
            <wp:extent cx="6135624" cy="6097"/>
            <wp:docPr id="59843" name="Group 59843"/>
            <wp:cNvGraphicFramePr/>
            <a:graphic>
              <a:graphicData uri="http://schemas.microsoft.com/office/word/2010/wordprocessingGroup">
                <wpg:wgp>
                  <wpg:cNvGrpSpPr/>
                  <wpg:grpSpPr>
                    <a:xfrm>
                      <a:off x="0" y="0"/>
                      <a:ext cx="6135624" cy="6097"/>
                      <a:chOff x="0" y="0"/>
                      <a:chExt cx="6135624" cy="6097"/>
                    </a:xfrm>
                  </wpg:grpSpPr>
                  <wps:wsp>
                    <wps:cNvPr id="62687" name="Shape 62687"/>
                    <wps:cNvSpPr/>
                    <wps:spPr>
                      <a:xfrm>
                        <a:off x="0" y="0"/>
                        <a:ext cx="6135624" cy="9144"/>
                      </a:xfrm>
                      <a:custGeom>
                        <a:pathLst>
                          <a:path w="6135624" h="9144">
                            <a:moveTo>
                              <a:pt x="0" y="0"/>
                            </a:moveTo>
                            <a:lnTo>
                              <a:pt x="6135624" y="0"/>
                            </a:lnTo>
                            <a:lnTo>
                              <a:pt x="6135624" y="9144"/>
                            </a:lnTo>
                            <a:lnTo>
                              <a:pt x="0" y="9144"/>
                            </a:lnTo>
                            <a:lnTo>
                              <a:pt x="0" y="0"/>
                            </a:lnTo>
                          </a:path>
                        </a:pathLst>
                      </a:custGeom>
                      <a:ln w="0" cap="rnd">
                        <a:round/>
                      </a:ln>
                    </wps:spPr>
                    <wps:style>
                      <a:lnRef idx="0">
                        <a:srgbClr val="000000">
                          <a:alpha val="0"/>
                        </a:srgbClr>
                      </a:lnRef>
                      <a:fillRef idx="1">
                        <a:srgbClr val="000000"/>
                      </a:fillRef>
                      <a:effectRef idx="0"/>
                      <a:fontRef idx="none"/>
                    </wps:style>
                    <wps:bodyPr/>
                  </wps:wsp>
                </wpg:wgp>
              </a:graphicData>
            </a:graphic>
          </wp:inline>
        </w:drawing>
      </w:r>
    </w:p>
    <w:p>
      <w:pPr>
        <w:spacing w:before="0" w:after="3392" w:line="259" w:lineRule="auto"/>
        <w:ind w:left="0" w:right="0" w:firstLine="0"/>
        <w:jc w:val="left"/>
      </w:pPr>
      <w:r>
        <w:rPr>
          <w:rFonts w:cs="Century Gothic" w:hAnsi="Century Gothic" w:eastAsia="Century Gothic" w:ascii="Century Gothic"/>
          <w:b w:val="1"/>
          <w:sz w:val="28"/>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pacing w:before="0" w:after="68" w:line="259" w:lineRule="auto"/>
        <w:ind w:left="-30" w:right="-28" w:firstLine="0"/>
        <w:jc w:val="left"/>
      </w:pPr>
      <w:r>
        <w:rPr>
          <w:rFonts w:cs="Calibri" w:hAnsi="Calibri" w:eastAsia="Calibri" w:ascii="Calibri"/>
          <w:sz w:val="22"/>
        </w:rPr>
        <w:drawing>
          <wp:inline distT="0" distB="0" distL="0" distR="0">
            <wp:extent cx="6135624" cy="6096"/>
            <wp:docPr id="50888" name="Group 50888"/>
            <wp:cNvGraphicFramePr/>
            <a:graphic>
              <a:graphicData uri="http://schemas.microsoft.com/office/word/2010/wordprocessingGroup">
                <wpg:wgp>
                  <wpg:cNvGrpSpPr/>
                  <wpg:grpSpPr>
                    <a:xfrm>
                      <a:off x="0" y="0"/>
                      <a:ext cx="6135624" cy="6096"/>
                      <a:chOff x="0" y="0"/>
                      <a:chExt cx="6135624" cy="6096"/>
                    </a:xfrm>
                  </wpg:grpSpPr>
                  <wps:wsp>
                    <wps:cNvPr id="62688" name="Shape 62688"/>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3152"/>
        </w:tabs>
        <w:spacing w:before="0" w:after="117" w:line="259" w:lineRule="auto"/>
        <w:ind w:left="-15" w:firstLine="0"/>
      </w:pPr>
      <w:r>
        <w:rPr>
          <w:sz w:val="28"/>
        </w:rPr>
        <w:t xml:space="preserve">VI. 	M</w:t>
      </w:r>
      <w:r>
        <w:rPr/>
        <w:t xml:space="preserve">ONITORING </w:t>
      </w:r>
      <w:r>
        <w:rPr>
          <w:sz w:val="28"/>
        </w:rPr>
        <w:t xml:space="preserve">A</w:t>
      </w:r>
      <w:r>
        <w:rPr/>
        <w:t xml:space="preserve">ND </w:t>
      </w:r>
      <w:r>
        <w:rPr>
          <w:sz w:val="28"/>
        </w:rPr>
        <w:t xml:space="preserve">E</w:t>
      </w:r>
      <w:r>
        <w:rPr/>
        <w:t xml:space="preserve">VALUATION </w:t>
      </w:r>
      <w:r>
        <w:rPr>
          <w:sz w:val="28"/>
        </w:rPr>
        <w:t xml:space="preserve">F</w:t>
      </w:r>
      <w:r>
        <w:rPr/>
        <w:t xml:space="preserve">RAMEWORK</w:t>
      </w:r>
      <w:r>
        <w:rPr>
          <w:sz w:val="28"/>
        </w:rPr>
        <w:t xml:space="preserve"> </w:t>
      </w:r>
    </w:p>
    <w:p>
      <w:pPr>
        <w:pStyle w:val="normal"/>
        <w:spacing w:before="0" w:after="52" w:line="249" w:lineRule="auto"/>
        <w:ind w:left="10" w:right="42"/>
      </w:pPr>
      <w:r>
        <w:rPr/>
        <w:t xml:space="preserve">Day-to-day monitoring of the project will be the responsibility of each Sub-regional Office Coordinator under the overall supervision of the UNDP Programme Manager.  UNDP DDR Section will ensure that key stakeholders are kept appraised of progress in the following steps.  The project will also be subject to a midterm review and end-of-project evaluation to take stock of overall progress, identify lessons learned and make recommendations to the Project Board for the main phase of Darfur DDR.  A joint M&amp;E team consisting of NSDDRC and UNDP will conduct the review and evaluation to jointly report to the Project Board. </w:t>
      </w:r>
    </w:p>
    <w:p>
      <w:pPr>
        <w:spacing w:before="0" w:after="40" w:line="259" w:lineRule="auto"/>
        <w:ind w:left="0" w:right="0" w:firstLine="0"/>
        <w:jc w:val="left"/>
      </w:pPr>
      <w:r>
        <w:rPr/>
        <w:t xml:space="preserve"> </w:t>
      </w:r>
    </w:p>
    <w:p>
      <w:pPr>
        <w:pStyle w:val="normal"/>
        <w:spacing w:before="0" w:after="52" w:line="249" w:lineRule="auto"/>
        <w:ind w:left="10" w:right="42"/>
      </w:pPr>
      <w:r>
        <w:rPr/>
        <w:t xml:space="preserve">The project will be monitored through the following within the annual circle: </w:t>
      </w:r>
    </w:p>
    <w:p>
      <w:pPr>
        <w:spacing w:before="0" w:after="50" w:line="259" w:lineRule="auto"/>
        <w:ind w:left="0" w:right="0" w:firstLine="0"/>
        <w:jc w:val="left"/>
      </w:pPr>
      <w:r>
        <w:rPr/>
        <w:t xml:space="preserve"> </w:t>
      </w:r>
    </w:p>
    <w:p>
      <w:pPr>
        <w:pStyle w:val="normal"/>
        <w:numPr>
          <w:ilvl w:val="0"/>
          <w:numId w:val="11"/>
        </w:numPr>
        <w:spacing w:before="0" w:after="121" w:line="249" w:lineRule="auto"/>
        <w:ind w:left="720" w:right="42" w:hanging="360"/>
      </w:pPr>
      <w:r>
        <w:rPr/>
        <w:t xml:space="preserve">On a quarterly basis, a quality assessment shall record progress towards the completion of key results, based on quality criteria and methods captured in the Quality Management table below. </w:t>
      </w:r>
    </w:p>
    <w:p>
      <w:pPr>
        <w:pStyle w:val="normal"/>
        <w:numPr>
          <w:ilvl w:val="0"/>
          <w:numId w:val="11"/>
        </w:numPr>
        <w:spacing w:before="0" w:after="120" w:line="249" w:lineRule="auto"/>
        <w:ind w:left="720" w:right="42" w:hanging="360"/>
      </w:pPr>
      <w:r>
        <w:rPr/>
        <w:t xml:space="preserve">An Issue Log shall be activated in Atlas and updated quarterly by the Project Manager to facilitate tracking and resolution of potential problems or requests for change.  </w:t>
      </w:r>
    </w:p>
    <w:p>
      <w:pPr>
        <w:pStyle w:val="normal"/>
        <w:numPr>
          <w:ilvl w:val="0"/>
          <w:numId w:val="11"/>
        </w:numPr>
        <w:spacing w:before="0" w:after="121" w:line="249" w:lineRule="auto"/>
        <w:ind w:left="720" w:right="42" w:hanging="360"/>
      </w:pPr>
      <w:r>
        <w:rPr/>
        <w:t xml:space="preserve">Based on the initial risk analysis submitted, a risk log shall be activated in Atlas and quarterly updated by reviewing the external environment that may affect the project implementation. </w:t>
      </w:r>
    </w:p>
    <w:p>
      <w:pPr>
        <w:pStyle w:val="normal"/>
        <w:numPr>
          <w:ilvl w:val="0"/>
          <w:numId w:val="11"/>
        </w:numPr>
        <w:spacing w:before="0" w:after="121" w:line="249" w:lineRule="auto"/>
        <w:ind w:left="720" w:right="42" w:hanging="360"/>
      </w:pPr>
      <w:r>
        <w:rPr/>
        <w:t xml:space="preserve">Based on the above information recorded in Atlas, a Quarterly Progress Reports (QPR) shall be submitted by the Project Manager to the Project Board through Project Assurance, using the standard report format available in the Executive Snapshot. </w:t>
      </w:r>
    </w:p>
    <w:p>
      <w:pPr>
        <w:pStyle w:val="normal"/>
        <w:numPr>
          <w:ilvl w:val="0"/>
          <w:numId w:val="11"/>
        </w:numPr>
        <w:spacing w:before="0" w:after="121" w:line="249" w:lineRule="auto"/>
        <w:ind w:left="720" w:right="42" w:hanging="360"/>
      </w:pPr>
      <w:r>
        <w:rPr/>
        <w:t xml:space="preserve">A project Lesson-learned log shall be activated and quarterly updated to ensure on-going learning and adaptation within the organisation, and to facilitate the preparation of the Lessons-learned Report at the end of the project </w:t>
      </w:r>
    </w:p>
    <w:p>
      <w:pPr>
        <w:pStyle w:val="normal"/>
        <w:numPr>
          <w:ilvl w:val="0"/>
          <w:numId w:val="11"/>
        </w:numPr>
        <w:spacing w:before="0" w:after="121" w:line="249" w:lineRule="auto"/>
        <w:ind w:left="720" w:right="42" w:hanging="360"/>
      </w:pPr>
      <w:r>
        <w:rPr/>
        <w:t xml:space="preserve">A Monitoring Schedule Plan shall be activated in Atlas and updated quarterly to track key management actions/events </w:t>
      </w:r>
    </w:p>
    <w:p>
      <w:pPr>
        <w:pStyle w:val="normal"/>
        <w:numPr>
          <w:ilvl w:val="0"/>
          <w:numId w:val="11"/>
        </w:numPr>
        <w:spacing w:before="0" w:after="272" w:line="249" w:lineRule="auto"/>
        <w:ind w:left="720" w:right="42" w:hanging="360"/>
      </w:pPr>
      <w:r>
        <w:rPr/>
        <w:t xml:space="preserve">A Final Review Report shall be prepared by the Project Manager and shared with the Project Board. As minimum requirement, the Final Review Report shall consist of the Atlas standard format for the QPR covering the whole year with updated information for each above element of the QPR as well as a summary of results achieved against pre-defined annual targets at the output level. </w:t>
      </w:r>
    </w:p>
    <w:p>
      <w:pPr>
        <w:spacing w:before="0" w:after="288" w:line="259" w:lineRule="auto"/>
        <w:ind w:left="10" w:right="0"/>
        <w:jc w:val="left"/>
      </w:pPr>
      <w:r>
        <w:rPr>
          <w:u w:val="single" w:color="000000"/>
        </w:rPr>
        <w:t xml:space="preserve">Annually, the project will be monitored through the following:</w:t>
      </w:r>
      <w:r>
        <w:rPr/>
        <w:t xml:space="preserve"> </w:t>
      </w:r>
    </w:p>
    <w:p>
      <w:pPr>
        <w:pStyle w:val="normal"/>
        <w:numPr>
          <w:ilvl w:val="0"/>
          <w:numId w:val="11"/>
        </w:numPr>
        <w:spacing w:before="0" w:after="19" w:line="249" w:lineRule="auto"/>
        <w:ind w:left="720" w:right="42" w:hanging="360"/>
      </w:pPr>
      <w:r>
        <w:rPr>
          <w:rFonts w:cs="Arial" w:hAnsi="Arial" w:eastAsia="Arial" w:ascii="Arial"/>
          <w:b w:val="1"/>
        </w:rPr>
        <w:t xml:space="preserve">Annual Review Report</w:t>
      </w:r>
      <w:r>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pPr>
        <w:pStyle w:val="normal"/>
        <w:numPr>
          <w:ilvl w:val="0"/>
          <w:numId w:val="11"/>
        </w:numPr>
        <w:spacing w:before="0" w:after="52" w:line="249" w:lineRule="auto"/>
        <w:ind w:left="720" w:right="42" w:hanging="360"/>
      </w:pPr>
      <w:r>
        <w:rPr>
          <w:rFonts w:cs="Arial" w:hAnsi="Arial" w:eastAsia="Arial" w:ascii="Arial"/>
          <w:b w:val="1"/>
        </w:rPr>
        <w:t xml:space="preserve">Annual Project Review</w:t>
      </w:r>
      <w:r>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pPr>
        <w:spacing w:before="0" w:after="39" w:line="259" w:lineRule="auto"/>
        <w:ind w:left="0" w:right="0" w:firstLine="0"/>
        <w:jc w:val="left"/>
      </w:pPr>
      <w:r>
        <w:rPr>
          <w:rFonts w:cs="Arial" w:hAnsi="Arial" w:eastAsia="Arial" w:ascii="Arial"/>
          <w:i w:val="1"/>
          <w:sz w:val="22"/>
        </w:rPr>
        <w:t xml:space="preserve"> </w:t>
      </w:r>
    </w:p>
    <w:p>
      <w:pPr>
        <w:spacing w:before="0" w:after="40" w:line="259" w:lineRule="auto"/>
        <w:ind w:left="0" w:right="0" w:firstLine="0"/>
        <w:jc w:val="left"/>
      </w:pPr>
      <w:r>
        <w:rPr>
          <w:rFonts w:cs="Arial" w:hAnsi="Arial" w:eastAsia="Arial" w:ascii="Arial"/>
          <w:i w:val="1"/>
          <w:sz w:val="22"/>
        </w:rPr>
        <w:t xml:space="preserve"> </w:t>
      </w:r>
    </w:p>
    <w:p>
      <w:pPr>
        <w:pStyle w:val="heading2"/>
        <w:spacing w:before="0" w:after="21" w:line="259" w:lineRule="auto"/>
        <w:ind w:left="-5"/>
      </w:pPr>
      <w:r>
        <w:rPr>
          <w:sz w:val="22"/>
        </w:rPr>
        <w:t xml:space="preserve">Quality Management for Project Activity Results </w:t>
      </w:r>
    </w:p>
    <w:p>
      <w:pPr>
        <w:spacing w:before="0" w:after="80" w:line="239" w:lineRule="auto"/>
        <w:ind w:left="0" w:right="3" w:firstLine="0"/>
      </w:pPr>
      <w:r>
        <w:rPr>
          <w:rFonts w:cs="Arial" w:hAnsi="Arial" w:eastAsia="Arial" w:ascii="Arial"/>
          <w:i w:val="1"/>
        </w:rPr>
        <w:t xml:space="preserve">Replicate the table for each activity result of the AWP to provide information on monitoring actions based on quality criteria. To be completed during the process “Defining a Project” if the information is available. This table shall be further refined during the process “Initiating a Project”. </w:t>
      </w:r>
    </w:p>
    <w:p>
      <w:pPr>
        <w:spacing w:before="0" w:after="0" w:line="259" w:lineRule="auto"/>
        <w:ind w:left="0" w:right="0" w:firstLine="0"/>
        <w:jc w:val="left"/>
      </w:pPr>
      <w:r>
        <w:rPr>
          <w:rFonts w:cs="Arial" w:hAnsi="Arial" w:eastAsia="Arial" w:ascii="Arial"/>
          <w:i w:val="1"/>
          <w:sz w:val="22"/>
        </w:rPr>
        <w:t xml:space="preserve"> </w:t>
      </w:r>
    </w:p>
    <w:tbl>
      <w:tblPr>
        <w:tblStyle w:val="TableGrid"/>
        <w:tblW w:w="9828" w:type="dxa"/>
        <w:tblInd w:w="-120" w:type="dxa"/>
        <w:tblCellMar>
          <w:top w:w="9" w:type="dxa"/>
          <w:left w:w="108" w:type="dxa"/>
          <w:bottom w:w="0" w:type="dxa"/>
          <w:right w:w="51" w:type="dxa"/>
        </w:tblCellMar>
      </w:tblPr>
      <w:tblGrid>
        <w:gridCol w:w="1915"/>
        <w:gridCol w:w="1800"/>
        <w:gridCol w:w="3600"/>
        <w:gridCol w:w="2513"/>
      </w:tblGrid>
      <w:tr>
        <w:trPr>
          <w:trHeight w:val="572"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7" w:right="0" w:firstLine="0"/>
            </w:pPr>
            <w:r>
              <w:rPr>
                <w:rFonts w:cs="Arial" w:hAnsi="Arial" w:eastAsia="Arial" w:ascii="Arial"/>
                <w:b w:val="1"/>
              </w:rPr>
              <w:t xml:space="preserve">OUTPUT 1:</w:t>
            </w:r>
            <w:r>
              <w:rPr>
                <w:sz w:val="22"/>
              </w:rPr>
              <w:t xml:space="preserve"> </w:t>
            </w:r>
            <w:r>
              <w:rPr>
                <w:rFonts w:cs="Arial" w:hAnsi="Arial" w:eastAsia="Arial" w:ascii="Arial"/>
                <w:b w:val="1"/>
              </w:rPr>
              <w:t xml:space="preserve">Capacity Development of National Stakeholders aimed at establishment of institutional structures and core functions for Darfur DDR </w:t>
            </w:r>
          </w:p>
        </w:tc>
      </w:tr>
      <w:tr>
        <w:trPr>
          <w:trHeight w:val="590" w:hRule="atLeast"/>
        </w:trPr>
        <w:tc>
          <w:tcPr>
            <w:tcW w:w="1915"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rFonts w:cs="Arial" w:hAnsi="Arial" w:eastAsia="Arial" w:ascii="Arial"/>
                <w:b w:val="1"/>
              </w:rPr>
              <w:t xml:space="preserve">Activity Result 1 </w:t>
            </w:r>
          </w:p>
          <w:p>
            <w:pPr>
              <w:spacing w:before="0" w:after="0" w:line="259" w:lineRule="auto"/>
              <w:ind w:left="0"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Offices deployed within projected timeline, operational and implementing activities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Start Date: 1 Sep 2009 </w:t>
            </w:r>
          </w:p>
          <w:p>
            <w:pPr>
              <w:spacing w:before="0" w:after="0" w:line="259" w:lineRule="auto"/>
              <w:ind w:left="0" w:right="0" w:firstLine="0"/>
              <w:jc w:val="left"/>
            </w:pPr>
            <w:r>
              <w:rPr/>
              <w:t xml:space="preserve">End Date: 28 Feb 2011 </w:t>
            </w:r>
          </w:p>
        </w:tc>
      </w:tr>
      <w:tr>
        <w:trPr>
          <w:trHeight w:val="566"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Purpose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Develop the NSDDRC’s capacity to set up operational structures, including Darfurian staff, to strengthen the DDR institutional framework.</w:t>
            </w:r>
            <w:r>
              <w:rPr>
                <w:rFonts w:cs="Arial" w:hAnsi="Arial" w:eastAsia="Arial" w:ascii="Arial"/>
                <w:i w:val="1"/>
              </w:rPr>
              <w:t xml:space="preserve">    </w:t>
            </w:r>
          </w:p>
        </w:tc>
      </w:tr>
      <w:tr>
        <w:trPr>
          <w:trHeight w:val="2610" w:hRule="atLeast"/>
        </w:trPr>
        <w:tc>
          <w:tcPr>
            <w:tcW w:w="1915" w:type="dxa"/>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Description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61" w:line="239" w:lineRule="auto"/>
              <w:ind w:left="0" w:right="0" w:firstLine="0"/>
            </w:pPr>
            <w:r>
              <w:rPr/>
              <w:t xml:space="preserve">Action 1.1.: Three State Offices identified and established in El Fasher, El Geneina and Nyala </w:t>
            </w:r>
          </w:p>
          <w:p>
            <w:pPr>
              <w:spacing w:before="0" w:after="59" w:line="240" w:lineRule="auto"/>
              <w:ind w:left="0" w:right="0" w:firstLine="0"/>
              <w:jc w:val="left"/>
            </w:pPr>
            <w:r>
              <w:rPr/>
              <w:t xml:space="preserve">Action 1.2.: Three state offices are equipped with required vehicles, furniture and office equipment </w:t>
            </w:r>
          </w:p>
          <w:p>
            <w:pPr>
              <w:spacing w:before="0" w:after="60" w:line="240" w:lineRule="auto"/>
              <w:ind w:left="0" w:right="0" w:firstLine="0"/>
            </w:pPr>
            <w:r>
              <w:rPr/>
              <w:t xml:space="preserve">Action 1.3.: Legislative and institutional frameworks for sustainable functioning of the three institutions developed and formalised  </w:t>
            </w:r>
          </w:p>
          <w:p>
            <w:pPr>
              <w:spacing w:before="0" w:after="61" w:line="239" w:lineRule="auto"/>
              <w:ind w:left="0" w:right="0" w:firstLine="0"/>
              <w:jc w:val="left"/>
            </w:pPr>
            <w:r>
              <w:rPr/>
              <w:t xml:space="preserve">Action 1.4.: ToRs required for the DDR project staff agreed upon, developed  and institutionalized </w:t>
            </w:r>
          </w:p>
          <w:p>
            <w:pPr>
              <w:spacing w:before="0" w:after="0" w:line="259" w:lineRule="auto"/>
              <w:ind w:left="0" w:right="0" w:firstLine="0"/>
            </w:pPr>
            <w:r>
              <w:rPr/>
              <w:t xml:space="preserve">Action 1.5.: Recruitment and training of required staff on administrative functions deployment to state and branch offices </w:t>
            </w:r>
          </w:p>
        </w:tc>
      </w:tr>
      <w:tr>
        <w:trPr>
          <w:trHeight w:val="982"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21" w:line="259" w:lineRule="auto"/>
              <w:ind w:left="0" w:right="0" w:firstLine="0"/>
              <w:jc w:val="left"/>
            </w:pPr>
            <w:r>
              <w:rPr>
                <w:rFonts w:cs="Arial" w:hAnsi="Arial" w:eastAsia="Arial" w:ascii="Arial"/>
                <w:b w:val="1"/>
              </w:rPr>
              <w:t xml:space="preserve">Quality Criteria </w:t>
            </w:r>
          </w:p>
          <w:p>
            <w:pPr>
              <w:spacing w:before="0" w:after="0" w:line="259" w:lineRule="auto"/>
              <w:ind w:left="0" w:right="0" w:firstLine="0"/>
              <w:jc w:val="left"/>
            </w:pPr>
            <w:r>
              <w:rPr>
                <w:sz w:val="18"/>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Quality Method </w:t>
            </w:r>
          </w:p>
          <w:p>
            <w:pPr>
              <w:spacing w:before="0" w:after="0" w:line="259" w:lineRule="auto"/>
              <w:ind w:left="0" w:right="0" w:firstLine="0"/>
              <w:jc w:val="left"/>
            </w:pPr>
            <w:r>
              <w:rPr>
                <w:rFonts w:cs="Arial" w:hAnsi="Arial" w:eastAsia="Arial" w:ascii="Arial"/>
                <w:i w:val="1"/>
                <w:sz w:val="18"/>
              </w:rPr>
              <w:t xml:space="preserve">Means of verification. What method will be used to determine if quality criteria has been met? </w:t>
            </w:r>
          </w:p>
        </w:tc>
        <w:tc>
          <w:tcPr>
            <w:tcW w:w="2513" w:type="dxa"/>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Date of Assessment </w:t>
            </w:r>
          </w:p>
          <w:p>
            <w:pPr>
              <w:spacing w:before="0" w:after="0" w:line="259" w:lineRule="auto"/>
              <w:ind w:left="0" w:right="0" w:firstLine="0"/>
            </w:pPr>
            <w:r>
              <w:rPr>
                <w:rFonts w:cs="Arial" w:hAnsi="Arial" w:eastAsia="Arial" w:ascii="Arial"/>
                <w:i w:val="1"/>
                <w:sz w:val="18"/>
              </w:rPr>
              <w:t xml:space="preserve">When will the assessment of quality be performed? </w:t>
            </w:r>
          </w:p>
        </w:tc>
      </w:tr>
      <w:tr>
        <w:trPr>
          <w:trHeight w:val="1279"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Management system of Darfur DDR established and State Offices set up with required personnel and office equipment and infrastructure at place </w:t>
            </w:r>
          </w:p>
        </w:tc>
        <w:tc>
          <w:tcPr>
            <w:tcW w:w="3600" w:type="dxa"/>
            <w:tcBorders>
              <w:top w:val="single" w:sz="4" w:color="000000"/>
              <w:left w:val="single" w:sz="4" w:color="000000"/>
              <w:bottom w:val="single" w:sz="4" w:color="000000"/>
              <w:right w:val="single" w:sz="4" w:color="000000"/>
            </w:tcBorders>
            <w:vAlign w:val="top"/>
          </w:tcPr>
          <w:p>
            <w:pPr>
              <w:spacing w:before="0" w:after="59" w:line="240" w:lineRule="auto"/>
              <w:ind w:left="0" w:right="0" w:firstLine="0"/>
              <w:jc w:val="left"/>
            </w:pPr>
            <w:r>
              <w:rPr/>
              <w:t xml:space="preserve">State offices are operating to support Darfur DDR. </w:t>
            </w:r>
          </w:p>
          <w:p>
            <w:pPr>
              <w:spacing w:before="0" w:after="0" w:line="259" w:lineRule="auto"/>
              <w:ind w:left="0" w:right="52" w:firstLine="0"/>
              <w:jc w:val="left"/>
            </w:pPr>
            <w:r>
              <w:rPr/>
              <w:t xml:space="preserve">Based on peace negotiation process led by UNAMID, DDR eligibility criteria developed and formalized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Quarterly </w:t>
            </w:r>
          </w:p>
        </w:tc>
      </w:tr>
      <w:tr>
        <w:trPr>
          <w:trHeight w:val="1511"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61" w:line="239" w:lineRule="auto"/>
              <w:ind w:left="0" w:right="42" w:firstLine="0"/>
              <w:jc w:val="left"/>
            </w:pPr>
            <w:r>
              <w:rPr/>
              <w:t xml:space="preserve">(2) National actors are willing to provide services for full-fledged Darfur DDR project </w:t>
            </w:r>
          </w:p>
          <w:p>
            <w:pPr>
              <w:spacing w:before="0" w:after="0" w:line="259" w:lineRule="auto"/>
              <w:ind w:left="0" w:right="0" w:firstLine="0"/>
              <w:jc w:val="left"/>
            </w:pPr>
            <w:r>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61" w:line="239" w:lineRule="auto"/>
              <w:ind w:left="0" w:right="0" w:firstLine="0"/>
              <w:jc w:val="left"/>
            </w:pPr>
            <w:r>
              <w:rPr/>
              <w:t xml:space="preserve">Based on peace negotiation process, MoU or letter of commitment for implementation of the full-fledged Darfur DDR project is signed between NSDDRC and UNDP </w:t>
            </w:r>
          </w:p>
          <w:p>
            <w:pPr>
              <w:spacing w:before="0" w:after="0" w:line="259" w:lineRule="auto"/>
              <w:ind w:left="0" w:right="0" w:firstLine="0"/>
              <w:jc w:val="left"/>
            </w:pPr>
            <w:r>
              <w:rPr/>
              <w:t xml:space="preserve">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1 Mar 2010 </w:t>
            </w:r>
          </w:p>
          <w:p>
            <w:pPr>
              <w:spacing w:before="0" w:after="42" w:line="259" w:lineRule="auto"/>
              <w:ind w:left="0" w:right="0" w:firstLine="0"/>
              <w:jc w:val="left"/>
            </w:pPr>
            <w:r>
              <w:rPr/>
              <w:t xml:space="preserve"> </w:t>
            </w:r>
          </w:p>
          <w:p>
            <w:pPr>
              <w:spacing w:before="0" w:after="0" w:line="259" w:lineRule="auto"/>
              <w:ind w:left="0" w:right="0" w:firstLine="0"/>
              <w:jc w:val="left"/>
            </w:pPr>
            <w:r>
              <w:rPr/>
              <w:t xml:space="preserve">28 Feb 2011 </w:t>
            </w:r>
          </w:p>
        </w:tc>
      </w:tr>
    </w:tbl>
    <w:p>
      <w:pPr>
        <w:spacing w:before="0" w:after="0" w:line="259" w:lineRule="auto"/>
        <w:ind w:left="0" w:right="0" w:firstLine="0"/>
        <w:jc w:val="left"/>
      </w:pPr>
      <w:r>
        <w:rPr>
          <w:sz w:val="22"/>
        </w:rPr>
        <w:t xml:space="preserve"> </w:t>
      </w:r>
    </w:p>
    <w:tbl>
      <w:tblPr>
        <w:tblStyle w:val="TableGrid"/>
        <w:tblW w:w="9828" w:type="dxa"/>
        <w:tblInd w:w="-120" w:type="dxa"/>
        <w:tblCellMar>
          <w:top w:w="9" w:type="dxa"/>
          <w:left w:w="107" w:type="dxa"/>
          <w:bottom w:w="0" w:type="dxa"/>
          <w:right w:w="52" w:type="dxa"/>
        </w:tblCellMar>
      </w:tblPr>
      <w:tblGrid>
        <w:gridCol w:w="1915"/>
        <w:gridCol w:w="1800"/>
        <w:gridCol w:w="3600"/>
        <w:gridCol w:w="2513"/>
      </w:tblGrid>
      <w:tr>
        <w:trPr>
          <w:trHeight w:val="572"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8" w:right="0" w:firstLine="0"/>
            </w:pPr>
            <w:r>
              <w:rPr>
                <w:rFonts w:cs="Arial" w:hAnsi="Arial" w:eastAsia="Arial" w:ascii="Arial"/>
                <w:b w:val="1"/>
              </w:rPr>
              <w:t xml:space="preserve">OUTPUT 1:</w:t>
            </w:r>
            <w:r>
              <w:rPr>
                <w:sz w:val="22"/>
              </w:rPr>
              <w:t xml:space="preserve"> </w:t>
            </w:r>
            <w:r>
              <w:rPr>
                <w:rFonts w:cs="Arial" w:hAnsi="Arial" w:eastAsia="Arial" w:ascii="Arial"/>
                <w:b w:val="1"/>
              </w:rPr>
              <w:t xml:space="preserve">Capacity Development of National Stakeholders aimed at establishment of institutional structures and core functions for Darfur DDR </w:t>
            </w:r>
          </w:p>
        </w:tc>
      </w:tr>
      <w:tr>
        <w:trPr>
          <w:trHeight w:val="590" w:hRule="atLeast"/>
        </w:trPr>
        <w:tc>
          <w:tcPr>
            <w:tcW w:w="1915" w:type="dxa"/>
            <w:tcBorders>
              <w:top w:val="single" w:sz="4" w:color="000000"/>
              <w:left w:val="single" w:sz="4" w:color="000000"/>
              <w:bottom w:val="single" w:sz="4" w:color="000000"/>
              <w:right w:val="single" w:sz="4" w:color="000000"/>
            </w:tcBorders>
            <w:vAlign w:val="top"/>
          </w:tcPr>
          <w:p>
            <w:pPr>
              <w:spacing w:before="0" w:after="42" w:line="259" w:lineRule="auto"/>
              <w:ind w:left="1" w:right="0" w:firstLine="0"/>
              <w:jc w:val="left"/>
            </w:pPr>
            <w:r>
              <w:rPr>
                <w:rFonts w:cs="Arial" w:hAnsi="Arial" w:eastAsia="Arial" w:ascii="Arial"/>
                <w:b w:val="1"/>
              </w:rPr>
              <w:t xml:space="preserve">Activity Result 2 </w:t>
            </w:r>
          </w:p>
          <w:p>
            <w:pPr>
              <w:spacing w:before="0" w:after="0" w:line="259" w:lineRule="auto"/>
              <w:ind w:left="1"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b w:val="1"/>
              </w:rPr>
              <w:t xml:space="preserve">SOPs and operational guidelines developed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1" w:right="0" w:firstLine="0"/>
              <w:jc w:val="left"/>
            </w:pPr>
            <w:r>
              <w:rPr/>
              <w:t xml:space="preserve">Start Date: 1 Sep 2009 </w:t>
            </w:r>
          </w:p>
          <w:p>
            <w:pPr>
              <w:spacing w:before="0" w:after="0" w:line="259" w:lineRule="auto"/>
              <w:ind w:left="1" w:right="0" w:firstLine="0"/>
              <w:jc w:val="left"/>
            </w:pPr>
            <w:r>
              <w:rPr/>
              <w:t xml:space="preserve">End Date: 28 Feb 2011 </w:t>
            </w:r>
          </w:p>
        </w:tc>
      </w:tr>
      <w:tr>
        <w:trPr>
          <w:trHeight w:val="566"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1" w:right="0" w:firstLine="0"/>
              <w:jc w:val="left"/>
            </w:pPr>
            <w:r>
              <w:rPr>
                <w:rFonts w:cs="Arial" w:hAnsi="Arial" w:eastAsia="Arial" w:ascii="Arial"/>
                <w:b w:val="1"/>
              </w:rPr>
              <w:t xml:space="preserve">Purpose </w:t>
            </w:r>
          </w:p>
          <w:p>
            <w:pPr>
              <w:spacing w:before="0" w:after="0" w:line="259" w:lineRule="auto"/>
              <w:ind w:left="1"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 w:right="0" w:firstLine="0"/>
            </w:pPr>
            <w:r>
              <w:rPr/>
              <w:t xml:space="preserve">Develop Darfur-specific key DDR programme tools such as SOPs and operational guidelines, as well as  technical Capacity to operate them </w:t>
            </w:r>
          </w:p>
        </w:tc>
      </w:tr>
      <w:tr>
        <w:trPr>
          <w:trHeight w:val="1050" w:hRule="atLeast"/>
        </w:trPr>
        <w:tc>
          <w:tcPr>
            <w:tcW w:w="1915" w:type="dxa"/>
            <w:tcBorders>
              <w:top w:val="single" w:sz="4" w:color="000000"/>
              <w:left w:val="single" w:sz="4" w:color="000000"/>
              <w:bottom w:val="single" w:sz="4" w:color="000000"/>
              <w:right w:val="single" w:sz="4" w:color="000000"/>
            </w:tcBorders>
            <w:vAlign w:val="top"/>
          </w:tcPr>
          <w:p>
            <w:pPr>
              <w:spacing w:before="0" w:after="22" w:line="259" w:lineRule="auto"/>
              <w:ind w:left="1" w:right="0" w:firstLine="0"/>
              <w:jc w:val="left"/>
            </w:pPr>
            <w:r>
              <w:rPr>
                <w:rFonts w:cs="Arial" w:hAnsi="Arial" w:eastAsia="Arial" w:ascii="Arial"/>
                <w:b w:val="1"/>
              </w:rPr>
              <w:t xml:space="preserve">Description </w:t>
            </w:r>
          </w:p>
          <w:p>
            <w:pPr>
              <w:spacing w:before="0" w:after="0" w:line="259" w:lineRule="auto"/>
              <w:ind w:left="1"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61" w:line="239" w:lineRule="auto"/>
              <w:ind w:left="1" w:right="0" w:firstLine="0"/>
            </w:pPr>
            <w:r>
              <w:rPr/>
              <w:t xml:space="preserve">Action 1.1.: Joint (NSDDRC state offices and the UN) preparation and development of operational guidelines and SOPs for Darfur DDR implementation </w:t>
            </w:r>
          </w:p>
          <w:p>
            <w:pPr>
              <w:spacing w:before="0" w:after="0" w:line="259" w:lineRule="auto"/>
              <w:ind w:left="1" w:right="0" w:firstLine="0"/>
              <w:jc w:val="left"/>
            </w:pPr>
            <w:r>
              <w:rPr/>
              <w:t xml:space="preserve">Action 1.2.: Formalization and/or institutionalization of SOPs and operational guidelines</w:t>
            </w:r>
            <w:r>
              <w:rPr>
                <w:sz w:val="16"/>
              </w:rPr>
              <w:t xml:space="preserve">  </w:t>
            </w:r>
          </w:p>
        </w:tc>
      </w:tr>
      <w:tr>
        <w:trPr>
          <w:trHeight w:val="982"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b w:val="1"/>
              </w:rPr>
              <w:t xml:space="preserve">Quality Criteria </w:t>
            </w:r>
          </w:p>
        </w:tc>
        <w:tc>
          <w:tcPr>
            <w:tcW w:w="3600" w:type="dxa"/>
            <w:tcBorders>
              <w:top w:val="single" w:sz="4" w:color="000000"/>
              <w:left w:val="single" w:sz="4" w:color="000000"/>
              <w:bottom w:val="single" w:sz="4" w:color="000000"/>
              <w:right w:val="single" w:sz="4" w:color="000000"/>
            </w:tcBorders>
            <w:vAlign w:val="top"/>
          </w:tcPr>
          <w:p>
            <w:pPr>
              <w:spacing w:before="0" w:after="24" w:line="259" w:lineRule="auto"/>
              <w:ind w:left="1" w:right="0" w:firstLine="0"/>
              <w:jc w:val="left"/>
            </w:pPr>
            <w:r>
              <w:rPr>
                <w:rFonts w:cs="Arial" w:hAnsi="Arial" w:eastAsia="Arial" w:ascii="Arial"/>
                <w:b w:val="1"/>
              </w:rPr>
              <w:t xml:space="preserve">Quality Method </w:t>
            </w:r>
          </w:p>
          <w:p>
            <w:pPr>
              <w:spacing w:before="0" w:after="0" w:line="259" w:lineRule="auto"/>
              <w:ind w:left="1" w:right="0" w:firstLine="0"/>
              <w:jc w:val="left"/>
            </w:pPr>
            <w:r>
              <w:rPr>
                <w:rFonts w:cs="Arial" w:hAnsi="Arial" w:eastAsia="Arial" w:ascii="Arial"/>
                <w:i w:val="1"/>
                <w:sz w:val="18"/>
              </w:rPr>
              <w:t xml:space="preserve">Means of verification. What method will be used to determine if quality criteria has been met? </w:t>
            </w:r>
          </w:p>
        </w:tc>
        <w:tc>
          <w:tcPr>
            <w:tcW w:w="2513" w:type="dxa"/>
            <w:tcBorders>
              <w:top w:val="single" w:sz="4" w:color="000000"/>
              <w:left w:val="single" w:sz="4" w:color="000000"/>
              <w:bottom w:val="single" w:sz="4" w:color="000000"/>
              <w:right w:val="single" w:sz="4" w:color="000000"/>
            </w:tcBorders>
            <w:vAlign w:val="top"/>
          </w:tcPr>
          <w:p>
            <w:pPr>
              <w:spacing w:before="0" w:after="24" w:line="259" w:lineRule="auto"/>
              <w:ind w:left="1" w:right="0" w:firstLine="0"/>
              <w:jc w:val="left"/>
            </w:pPr>
            <w:r>
              <w:rPr>
                <w:rFonts w:cs="Arial" w:hAnsi="Arial" w:eastAsia="Arial" w:ascii="Arial"/>
                <w:b w:val="1"/>
              </w:rPr>
              <w:t xml:space="preserve">Date of Assessment </w:t>
            </w:r>
          </w:p>
          <w:p>
            <w:pPr>
              <w:spacing w:before="0" w:after="0" w:line="259" w:lineRule="auto"/>
              <w:ind w:left="1" w:right="0" w:firstLine="0"/>
            </w:pPr>
            <w:r>
              <w:rPr>
                <w:rFonts w:cs="Arial" w:hAnsi="Arial" w:eastAsia="Arial" w:ascii="Arial"/>
                <w:i w:val="1"/>
                <w:sz w:val="18"/>
              </w:rPr>
              <w:t xml:space="preserve">When will the assessment of quality be performed? </w:t>
            </w:r>
          </w:p>
        </w:tc>
      </w:tr>
      <w:tr>
        <w:trPr>
          <w:trHeight w:val="30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(1) Jointly developed Darfur DDR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Experts/peer review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t xml:space="preserve">1 Jun 2010 </w:t>
            </w:r>
          </w:p>
        </w:tc>
      </w:tr>
    </w:tbl>
    <w:tbl>
      <w:tblPr>
        <w:tblStyle w:val="TableGrid"/>
        <w:tblW w:w="9828" w:type="dxa"/>
        <w:tblInd w:w="-120" w:type="dxa"/>
        <w:tblCellMar>
          <w:top w:w="9" w:type="dxa"/>
          <w:left w:w="107" w:type="dxa"/>
          <w:bottom w:w="0" w:type="dxa"/>
          <w:right w:w="52" w:type="dxa"/>
        </w:tblCellMar>
      </w:tblPr>
      <w:tblGrid>
        <w:gridCol w:w="3715"/>
        <w:gridCol w:w="3600"/>
        <w:gridCol w:w="2513"/>
      </w:tblGrid>
      <w:tr>
        <w:trPr>
          <w:trHeight w:val="990" w:hRule="atLeast"/>
        </w:trPr>
        <w:tc>
          <w:tcPr>
            <w:tcW w:w="3715" w:type="dxa"/>
            <w:tcBorders>
              <w:top w:val="single" w:sz="4" w:color="000000"/>
              <w:left w:val="single" w:sz="4" w:color="000000"/>
              <w:bottom w:val="single" w:sz="4" w:color="000000"/>
              <w:right w:val="single" w:sz="4" w:color="000000"/>
            </w:tcBorders>
            <w:vAlign w:val="top"/>
          </w:tcPr>
          <w:p>
            <w:pPr>
              <w:spacing w:before="0" w:after="0" w:line="240" w:lineRule="auto"/>
              <w:ind w:left="0" w:right="0" w:firstLine="0"/>
              <w:jc w:val="left"/>
            </w:pPr>
            <w:r>
              <w:rPr/>
              <w:t xml:space="preserve">SOPs and operational guidelines are in line with IDDRS and Darfur Peace </w:t>
            </w:r>
          </w:p>
          <w:p>
            <w:pPr>
              <w:spacing w:before="0" w:after="0" w:line="259" w:lineRule="auto"/>
              <w:ind w:left="0" w:right="0" w:firstLine="0"/>
              <w:jc w:val="left"/>
            </w:pPr>
            <w:r>
              <w:rPr/>
              <w:t xml:space="preserve">Agreement documents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Provision or Decree on institutionalization of the SOPs and operational guidelines for Darfur regions </w:t>
            </w:r>
          </w:p>
        </w:tc>
        <w:tc>
          <w:tcPr>
            <w:tcW w:w="251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60"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(2) National counterparts from State </w:t>
            </w:r>
          </w:p>
          <w:p>
            <w:pPr>
              <w:spacing w:before="0" w:after="0" w:line="259" w:lineRule="auto"/>
              <w:ind w:left="0" w:right="0" w:firstLine="0"/>
              <w:jc w:val="left"/>
            </w:pPr>
            <w:r>
              <w:rPr/>
              <w:t xml:space="preserve">Offices are trained and capable to use </w:t>
            </w:r>
          </w:p>
          <w:p>
            <w:pPr>
              <w:spacing w:before="0" w:after="0" w:line="259" w:lineRule="auto"/>
              <w:ind w:left="0" w:right="0" w:firstLine="0"/>
              <w:jc w:val="left"/>
            </w:pPr>
            <w:r>
              <w:rPr/>
              <w:t xml:space="preserve">SOPs and operational guidelines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5" w:firstLine="0"/>
              <w:jc w:val="left"/>
            </w:pPr>
            <w:r>
              <w:rPr/>
              <w:t xml:space="preserve">Report on the end-user survey (satisfaction and needs assessment of key professional staff)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Dec 2010 </w:t>
            </w:r>
          </w:p>
        </w:tc>
      </w:tr>
    </w:tbl>
    <w:p>
      <w:pPr>
        <w:spacing w:before="0" w:after="0" w:line="259" w:lineRule="auto"/>
        <w:ind w:left="0" w:right="0" w:firstLine="0"/>
      </w:pPr>
      <w:r>
        <w:rPr>
          <w:sz w:val="22"/>
        </w:rPr>
        <w:t xml:space="preserve"> </w:t>
      </w:r>
    </w:p>
    <w:tbl>
      <w:tblPr>
        <w:tblStyle w:val="TableGrid"/>
        <w:tblW w:w="9828" w:type="dxa"/>
        <w:tblInd w:w="-120" w:type="dxa"/>
        <w:tblCellMar>
          <w:top w:w="9" w:type="dxa"/>
          <w:left w:w="108" w:type="dxa"/>
          <w:bottom w:w="0" w:type="dxa"/>
          <w:right w:w="51" w:type="dxa"/>
        </w:tblCellMar>
      </w:tblPr>
      <w:tblGrid>
        <w:gridCol w:w="1915"/>
        <w:gridCol w:w="1800"/>
        <w:gridCol w:w="3600"/>
        <w:gridCol w:w="2513"/>
      </w:tblGrid>
      <w:tr>
        <w:trPr>
          <w:trHeight w:val="572"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7" w:right="0" w:firstLine="0"/>
            </w:pPr>
            <w:r>
              <w:rPr>
                <w:rFonts w:cs="Arial" w:hAnsi="Arial" w:eastAsia="Arial" w:ascii="Arial"/>
                <w:b w:val="1"/>
              </w:rPr>
              <w:t xml:space="preserve">OUTPUT 1:</w:t>
            </w:r>
            <w:r>
              <w:rPr>
                <w:sz w:val="22"/>
              </w:rPr>
              <w:t xml:space="preserve"> </w:t>
            </w:r>
            <w:r>
              <w:rPr>
                <w:rFonts w:cs="Arial" w:hAnsi="Arial" w:eastAsia="Arial" w:ascii="Arial"/>
                <w:b w:val="1"/>
              </w:rPr>
              <w:t xml:space="preserve">Capacity Development of National Stakeholders aimed at establishment of institutional structures and core functions for Darfur DDR  </w:t>
            </w:r>
          </w:p>
        </w:tc>
      </w:tr>
      <w:tr>
        <w:trPr>
          <w:trHeight w:val="1074" w:hRule="atLeast"/>
        </w:trPr>
        <w:tc>
          <w:tcPr>
            <w:tcW w:w="1915"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rFonts w:cs="Arial" w:hAnsi="Arial" w:eastAsia="Arial" w:ascii="Arial"/>
                <w:b w:val="1"/>
              </w:rPr>
              <w:t xml:space="preserve">Activity Result 3 </w:t>
            </w:r>
          </w:p>
          <w:p>
            <w:pPr>
              <w:spacing w:before="0" w:after="0" w:line="259" w:lineRule="auto"/>
              <w:ind w:left="0"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79" w:line="239" w:lineRule="auto"/>
              <w:ind w:left="0" w:right="56" w:firstLine="0"/>
            </w:pPr>
            <w:r>
              <w:rPr>
                <w:rFonts w:cs="Arial" w:hAnsi="Arial" w:eastAsia="Arial" w:ascii="Arial"/>
                <w:b w:val="1"/>
              </w:rPr>
              <w:t xml:space="preserve">Activity Result (3) Commission staff trained and applying training to the implementation of activities within Darfur DDR. </w:t>
            </w:r>
          </w:p>
          <w:p>
            <w:pPr>
              <w:spacing w:before="0" w:after="0" w:line="259" w:lineRule="auto"/>
              <w:ind w:left="0" w:right="0" w:firstLine="0"/>
              <w:jc w:val="left"/>
            </w:pPr>
            <w:r>
              <w:rPr>
                <w:sz w:val="22"/>
              </w:rPr>
              <w:t xml:space="preserve">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Start Date: 1 Sep 2009 </w:t>
            </w:r>
          </w:p>
          <w:p>
            <w:pPr>
              <w:spacing w:before="0" w:after="0" w:line="259" w:lineRule="auto"/>
              <w:ind w:left="0" w:right="0" w:firstLine="0"/>
              <w:jc w:val="left"/>
            </w:pPr>
            <w:r>
              <w:rPr/>
              <w:t xml:space="preserve">End Date:  1 Dec 2010 </w:t>
            </w:r>
          </w:p>
        </w:tc>
      </w:tr>
      <w:tr>
        <w:trPr>
          <w:trHeight w:val="566"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Purpose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National counterparts responsible for Darfur DDR project implementation are provided with required skills and technical expertise to run full-fledged DDR programme  </w:t>
            </w:r>
          </w:p>
        </w:tc>
      </w:tr>
      <w:tr>
        <w:trPr>
          <w:trHeight w:val="1050"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Description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60" w:line="240" w:lineRule="auto"/>
              <w:ind w:left="0" w:right="0" w:firstLine="0"/>
            </w:pPr>
            <w:r>
              <w:rPr/>
              <w:t xml:space="preserve">Action 3.1.: Develop capacity development strategy and training programme for required staff of the state offices </w:t>
            </w:r>
          </w:p>
          <w:p>
            <w:pPr>
              <w:spacing w:before="0" w:after="0" w:line="259" w:lineRule="auto"/>
              <w:ind w:left="0" w:right="0" w:firstLine="0"/>
            </w:pPr>
            <w:r>
              <w:rPr/>
              <w:t xml:space="preserve">Action 3.2.: Conduct a series of trainings and workshops for required staff in various programme areas including DDR, special needs groups, CSAC, gender etc.  </w:t>
            </w:r>
          </w:p>
        </w:tc>
      </w:tr>
      <w:tr>
        <w:trPr>
          <w:trHeight w:val="98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Quality Criteria </w:t>
            </w:r>
          </w:p>
          <w:p>
            <w:pPr>
              <w:spacing w:before="0" w:after="0" w:line="259" w:lineRule="auto"/>
              <w:ind w:left="0" w:right="0" w:firstLine="0"/>
              <w:jc w:val="left"/>
            </w:pPr>
            <w:r>
              <w:rPr>
                <w:sz w:val="18"/>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Quality Method </w:t>
            </w:r>
          </w:p>
          <w:p>
            <w:pPr>
              <w:spacing w:before="0" w:after="0" w:line="259" w:lineRule="auto"/>
              <w:ind w:left="0" w:right="0" w:firstLine="0"/>
              <w:jc w:val="left"/>
            </w:pPr>
            <w:r>
              <w:rPr>
                <w:rFonts w:cs="Arial" w:hAnsi="Arial" w:eastAsia="Arial" w:ascii="Arial"/>
                <w:i w:val="1"/>
                <w:sz w:val="18"/>
              </w:rPr>
              <w:t xml:space="preserve">Means of verification. What method will be used to determine if quality criteria has been met? </w:t>
            </w:r>
          </w:p>
        </w:tc>
        <w:tc>
          <w:tcPr>
            <w:tcW w:w="2513"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Date of Assessment </w:t>
            </w:r>
          </w:p>
          <w:p>
            <w:pPr>
              <w:spacing w:before="0" w:after="0" w:line="259" w:lineRule="auto"/>
              <w:ind w:left="0" w:right="0" w:firstLine="0"/>
            </w:pPr>
            <w:r>
              <w:rPr>
                <w:rFonts w:cs="Arial" w:hAnsi="Arial" w:eastAsia="Arial" w:ascii="Arial"/>
                <w:i w:val="1"/>
                <w:sz w:val="18"/>
              </w:rPr>
              <w:t xml:space="preserve">When will the assessment of quality be performed? </w:t>
            </w:r>
          </w:p>
        </w:tc>
      </w:tr>
      <w:tr>
        <w:trPr>
          <w:trHeight w:val="122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DDR concept and activities wellinformed at the State government level and their proactive support expected.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Based on peace negotiation process, </w:t>
            </w:r>
          </w:p>
          <w:p>
            <w:pPr>
              <w:spacing w:before="0" w:after="0" w:line="240" w:lineRule="auto"/>
              <w:ind w:left="0" w:right="15" w:firstLine="0"/>
              <w:jc w:val="left"/>
            </w:pPr>
            <w:r>
              <w:rPr/>
              <w:t xml:space="preserve">National Strategic Plan for Darfur DDR reflects commitment to implementation of the full-fledged </w:t>
            </w:r>
          </w:p>
          <w:p>
            <w:pPr>
              <w:spacing w:before="0" w:after="0" w:line="259" w:lineRule="auto"/>
              <w:ind w:left="0" w:right="0" w:firstLine="0"/>
              <w:jc w:val="left"/>
            </w:pPr>
            <w:r>
              <w:rPr/>
              <w:t xml:space="preserve">Darfur DDR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Mar 2010 </w:t>
            </w:r>
          </w:p>
        </w:tc>
      </w:tr>
      <w:tr>
        <w:trPr>
          <w:trHeight w:val="761"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(2) Key (professional) staff are satisfied with the technical support received.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36" w:firstLine="0"/>
              <w:jc w:val="left"/>
            </w:pPr>
            <w:r>
              <w:rPr/>
              <w:t xml:space="preserve">Report on the end-user survey (satisfaction and needs assessment of key professional staff)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Dec 2010 </w:t>
            </w:r>
          </w:p>
        </w:tc>
      </w:tr>
    </w:tbl>
    <w:p>
      <w:pPr>
        <w:spacing w:before="0" w:after="39" w:line="259" w:lineRule="auto"/>
        <w:ind w:left="0" w:right="0" w:firstLine="0"/>
      </w:pPr>
      <w:r>
        <w:rPr>
          <w:sz w:val="22"/>
        </w:rPr>
        <w:t xml:space="preserve"> </w:t>
      </w:r>
    </w:p>
    <w:p>
      <w:pPr>
        <w:spacing w:before="0" w:after="0" w:line="259" w:lineRule="auto"/>
        <w:ind w:left="0" w:right="0" w:firstLine="0"/>
      </w:pPr>
      <w:r>
        <w:rPr>
          <w:sz w:val="22"/>
        </w:rPr>
        <w:t xml:space="preserve"> </w:t>
      </w:r>
    </w:p>
    <w:tbl>
      <w:tblPr>
        <w:tblStyle w:val="TableGrid"/>
        <w:tblW w:w="9828" w:type="dxa"/>
        <w:tblInd w:w="-120" w:type="dxa"/>
        <w:tblCellMar>
          <w:top w:w="9" w:type="dxa"/>
          <w:left w:w="108" w:type="dxa"/>
          <w:bottom w:w="0" w:type="dxa"/>
          <w:right w:w="51" w:type="dxa"/>
        </w:tblCellMar>
      </w:tblPr>
      <w:tblGrid>
        <w:gridCol w:w="1915"/>
        <w:gridCol w:w="1800"/>
        <w:gridCol w:w="3600"/>
        <w:gridCol w:w="2513"/>
      </w:tblGrid>
      <w:tr>
        <w:trPr>
          <w:trHeight w:val="343"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7" w:right="0" w:firstLine="0"/>
              <w:jc w:val="left"/>
            </w:pPr>
            <w:r>
              <w:rPr>
                <w:rFonts w:cs="Arial" w:hAnsi="Arial" w:eastAsia="Arial" w:ascii="Arial"/>
                <w:b w:val="1"/>
              </w:rPr>
              <w:t xml:space="preserve">OUTPUT 2:</w:t>
            </w:r>
            <w:r>
              <w:rPr>
                <w:sz w:val="22"/>
              </w:rPr>
              <w:t xml:space="preserve"> </w:t>
            </w:r>
            <w:r>
              <w:rPr>
                <w:rFonts w:cs="Arial" w:hAnsi="Arial" w:eastAsia="Arial" w:ascii="Arial"/>
                <w:b w:val="1"/>
              </w:rPr>
              <w:t xml:space="preserve">Undertake a DDR public information and sensitization campaign for DDR in Darfur </w:t>
            </w:r>
          </w:p>
        </w:tc>
      </w:tr>
      <w:tr>
        <w:trPr>
          <w:trHeight w:val="1970" w:hRule="atLeast"/>
        </w:trPr>
        <w:tc>
          <w:tcPr>
            <w:tcW w:w="1915"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Arial" w:hAnsi="Arial" w:eastAsia="Arial" w:ascii="Arial"/>
                <w:b w:val="1"/>
              </w:rPr>
              <w:t xml:space="preserve">Activity Result 1 </w:t>
            </w:r>
          </w:p>
          <w:p>
            <w:pPr>
              <w:spacing w:before="0" w:after="0" w:line="259" w:lineRule="auto"/>
              <w:ind w:left="0"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59" w:line="240" w:lineRule="auto"/>
              <w:ind w:left="0" w:right="54" w:firstLine="0"/>
            </w:pPr>
            <w:r>
              <w:rPr>
                <w:rFonts w:cs="Arial" w:hAnsi="Arial" w:eastAsia="Arial" w:ascii="Arial"/>
                <w:b w:val="1"/>
              </w:rPr>
              <w:t xml:space="preserve">Activity Result (1) State governments and leaders of communities prepared the implementation of comprehensive DDR and realized that a weapon-free society is more conducive to stability and development than one in which access to weapons is prevalent. DDR receives political support from regional figures. </w:t>
            </w:r>
          </w:p>
          <w:p>
            <w:pPr>
              <w:spacing w:before="0" w:after="0" w:line="259" w:lineRule="auto"/>
              <w:ind w:left="0" w:right="0" w:firstLine="0"/>
              <w:jc w:val="left"/>
            </w:pPr>
            <w:r>
              <w:rPr/>
              <w:t xml:space="preserve">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Start Date: 1 Dec 2009 </w:t>
            </w:r>
          </w:p>
          <w:p>
            <w:pPr>
              <w:spacing w:before="0" w:after="0" w:line="259" w:lineRule="auto"/>
              <w:ind w:left="0" w:right="0" w:firstLine="0"/>
              <w:jc w:val="left"/>
            </w:pPr>
            <w:r>
              <w:rPr/>
              <w:t xml:space="preserve">End Date: 28 Feb 2011 </w:t>
            </w:r>
          </w:p>
        </w:tc>
      </w:tr>
      <w:tr>
        <w:trPr>
          <w:trHeight w:val="566"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Purpose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To ensure public and state government support to the project  </w:t>
            </w:r>
          </w:p>
        </w:tc>
      </w:tr>
      <w:tr>
        <w:trPr>
          <w:trHeight w:val="1050"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Description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60" w:line="240" w:lineRule="auto"/>
              <w:ind w:left="0" w:right="0" w:firstLine="0"/>
            </w:pPr>
            <w:r>
              <w:rPr/>
              <w:t xml:space="preserve">Action 1.1.: Conduct a series of workshops on DDR and CSAC Sensitisation Campaign at the State government level </w:t>
            </w:r>
          </w:p>
          <w:p>
            <w:pPr>
              <w:spacing w:before="0" w:after="0" w:line="259" w:lineRule="auto"/>
              <w:ind w:left="0" w:right="0" w:firstLine="0"/>
            </w:pPr>
            <w:r>
              <w:rPr/>
              <w:t xml:space="preserve">Action 1.2.: Conduct a series of workshops on DDR and CSAC Sensitisation Campaign at the community level Action  </w:t>
            </w:r>
          </w:p>
        </w:tc>
      </w:tr>
      <w:tr>
        <w:trPr>
          <w:trHeight w:val="98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Quality Criteria </w:t>
            </w:r>
          </w:p>
          <w:p>
            <w:pPr>
              <w:spacing w:before="0" w:after="0" w:line="259" w:lineRule="auto"/>
              <w:ind w:left="0" w:right="0" w:firstLine="0"/>
              <w:jc w:val="left"/>
            </w:pPr>
            <w:r>
              <w:rPr>
                <w:sz w:val="18"/>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Quality Method </w:t>
            </w:r>
          </w:p>
          <w:p>
            <w:pPr>
              <w:spacing w:before="0" w:after="0" w:line="259" w:lineRule="auto"/>
              <w:ind w:left="0" w:right="0" w:firstLine="0"/>
              <w:jc w:val="left"/>
            </w:pPr>
            <w:r>
              <w:rPr>
                <w:rFonts w:cs="Arial" w:hAnsi="Arial" w:eastAsia="Arial" w:ascii="Arial"/>
                <w:i w:val="1"/>
                <w:sz w:val="18"/>
              </w:rPr>
              <w:t xml:space="preserve">Means of verification. What method will be used to determine if quality criteria has been met? </w:t>
            </w:r>
          </w:p>
        </w:tc>
        <w:tc>
          <w:tcPr>
            <w:tcW w:w="2513"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Date of Assessment </w:t>
            </w:r>
          </w:p>
          <w:p>
            <w:pPr>
              <w:spacing w:before="0" w:after="0" w:line="259" w:lineRule="auto"/>
              <w:ind w:left="0" w:right="0" w:firstLine="0"/>
            </w:pPr>
            <w:r>
              <w:rPr>
                <w:rFonts w:cs="Arial" w:hAnsi="Arial" w:eastAsia="Arial" w:ascii="Arial"/>
                <w:i w:val="1"/>
                <w:sz w:val="18"/>
              </w:rPr>
              <w:t xml:space="preserve">When will the assessment of quality be performed? </w:t>
            </w:r>
          </w:p>
        </w:tc>
      </w:tr>
      <w:tr>
        <w:trPr>
          <w:trHeight w:val="701"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DDR concept and activities wellinformed at the State government level and their proactive support to the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Training reports (results of ex-ante and ex-post assessment of trainees)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28 Feb 2010 </w:t>
            </w:r>
          </w:p>
          <w:p>
            <w:pPr>
              <w:spacing w:before="0" w:after="0" w:line="259" w:lineRule="auto"/>
              <w:ind w:left="0" w:right="0" w:firstLine="0"/>
              <w:jc w:val="left"/>
            </w:pPr>
            <w:r>
              <w:rPr/>
              <w:t xml:space="preserve">28 Feb 2011 </w:t>
            </w:r>
          </w:p>
        </w:tc>
      </w:tr>
    </w:tbl>
    <w:tbl>
      <w:tblPr>
        <w:tblStyle w:val="TableGrid"/>
        <w:tblW w:w="9828" w:type="dxa"/>
        <w:tblInd w:w="-120" w:type="dxa"/>
        <w:tblCellMar>
          <w:top w:w="9" w:type="dxa"/>
          <w:left w:w="108" w:type="dxa"/>
          <w:bottom w:w="0" w:type="dxa"/>
          <w:right w:w="51" w:type="dxa"/>
        </w:tblCellMar>
      </w:tblPr>
      <w:tblGrid>
        <w:gridCol w:w="3715"/>
        <w:gridCol w:w="3600"/>
        <w:gridCol w:w="2513"/>
      </w:tblGrid>
      <w:tr>
        <w:trPr>
          <w:trHeight w:val="300"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project provided. </w:t>
            </w:r>
          </w:p>
        </w:tc>
        <w:tc>
          <w:tcPr>
            <w:tcW w:w="360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51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990"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DDR concept and activities wellinformed in the population and their proactive support to the project provided.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Training reports (results of ex-ante and ex-post assessment of trainees)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28 Feb 2010 </w:t>
            </w:r>
          </w:p>
          <w:p>
            <w:pPr>
              <w:spacing w:before="0" w:after="40" w:line="259" w:lineRule="auto"/>
              <w:ind w:left="0" w:right="0" w:firstLine="0"/>
              <w:jc w:val="left"/>
            </w:pPr>
            <w:r>
              <w:rPr/>
              <w:t xml:space="preserve"> </w:t>
            </w:r>
          </w:p>
          <w:p>
            <w:pPr>
              <w:spacing w:before="0" w:after="0" w:line="259" w:lineRule="auto"/>
              <w:ind w:left="0" w:right="0" w:firstLine="0"/>
              <w:jc w:val="left"/>
            </w:pPr>
            <w:r>
              <w:rPr/>
              <w:t xml:space="preserve">28 Feb 2011 </w:t>
            </w:r>
          </w:p>
        </w:tc>
      </w:tr>
    </w:tbl>
    <w:p>
      <w:pPr>
        <w:spacing w:before="0" w:after="40" w:line="259" w:lineRule="auto"/>
        <w:ind w:left="0" w:right="0" w:firstLine="0"/>
      </w:pPr>
      <w:r>
        <w:rPr>
          <w:sz w:val="22"/>
        </w:rPr>
        <w:t xml:space="preserve"> </w:t>
      </w:r>
    </w:p>
    <w:p>
      <w:pPr>
        <w:spacing w:before="0" w:after="0" w:line="259" w:lineRule="auto"/>
        <w:ind w:left="0" w:right="0" w:firstLine="0"/>
      </w:pPr>
      <w:r>
        <w:rPr>
          <w:sz w:val="22"/>
        </w:rPr>
        <w:t xml:space="preserve"> </w:t>
      </w:r>
    </w:p>
    <w:tbl>
      <w:tblPr>
        <w:tblStyle w:val="TableGrid"/>
        <w:tblW w:w="9828" w:type="dxa"/>
        <w:tblInd w:w="-120" w:type="dxa"/>
        <w:tblCellMar>
          <w:top w:w="9" w:type="dxa"/>
          <w:left w:w="108" w:type="dxa"/>
          <w:bottom w:w="0" w:type="dxa"/>
          <w:right w:w="52" w:type="dxa"/>
        </w:tblCellMar>
      </w:tblPr>
      <w:tblGrid>
        <w:gridCol w:w="1915"/>
        <w:gridCol w:w="1800"/>
        <w:gridCol w:w="3600"/>
        <w:gridCol w:w="2513"/>
      </w:tblGrid>
      <w:tr>
        <w:trPr>
          <w:trHeight w:val="342"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7" w:right="0" w:firstLine="0"/>
              <w:jc w:val="left"/>
            </w:pPr>
            <w:r>
              <w:rPr>
                <w:rFonts w:cs="Arial" w:hAnsi="Arial" w:eastAsia="Arial" w:ascii="Arial"/>
                <w:b w:val="1"/>
              </w:rPr>
              <w:t xml:space="preserve">OUTPUT 2:</w:t>
            </w:r>
            <w:r>
              <w:rPr>
                <w:sz w:val="22"/>
              </w:rPr>
              <w:t xml:space="preserve"> </w:t>
            </w:r>
            <w:r>
              <w:rPr>
                <w:rFonts w:cs="Arial" w:hAnsi="Arial" w:eastAsia="Arial" w:ascii="Arial"/>
                <w:b w:val="1"/>
              </w:rPr>
              <w:t xml:space="preserve">Undertake a DDR public information and sensitization campaign for DDR in Darfur  </w:t>
            </w:r>
          </w:p>
        </w:tc>
      </w:tr>
      <w:tr>
        <w:trPr>
          <w:trHeight w:val="1050" w:hRule="atLeast"/>
        </w:trPr>
        <w:tc>
          <w:tcPr>
            <w:tcW w:w="1915"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rFonts w:cs="Arial" w:hAnsi="Arial" w:eastAsia="Arial" w:ascii="Arial"/>
                <w:b w:val="1"/>
              </w:rPr>
              <w:t xml:space="preserve">Activity Result 2 </w:t>
            </w:r>
          </w:p>
          <w:p>
            <w:pPr>
              <w:spacing w:before="0" w:after="0" w:line="259" w:lineRule="auto"/>
              <w:ind w:left="0"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59" w:line="239" w:lineRule="auto"/>
              <w:ind w:left="0" w:right="56" w:firstLine="0"/>
            </w:pPr>
            <w:r>
              <w:rPr>
                <w:rFonts w:cs="Arial" w:hAnsi="Arial" w:eastAsia="Arial" w:ascii="Arial"/>
                <w:b w:val="1"/>
              </w:rPr>
              <w:t xml:space="preserve">Activity Result (2) Population including armed groups well-informed about DDR. Armed groups encouraged to enter DDR process.  </w:t>
            </w:r>
          </w:p>
          <w:p>
            <w:pPr>
              <w:spacing w:before="0" w:after="0" w:line="259" w:lineRule="auto"/>
              <w:ind w:left="0" w:right="0" w:firstLine="0"/>
              <w:jc w:val="left"/>
            </w:pPr>
            <w:r>
              <w:rPr/>
              <w:t xml:space="preserve">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Start Date: 1 Dec 2009 </w:t>
            </w:r>
          </w:p>
          <w:p>
            <w:pPr>
              <w:spacing w:before="0" w:after="0" w:line="259" w:lineRule="auto"/>
              <w:ind w:left="0" w:right="0" w:firstLine="0"/>
              <w:jc w:val="left"/>
            </w:pPr>
            <w:r>
              <w:rPr/>
              <w:t xml:space="preserve">End Date: 30 Nov 2010 </w:t>
            </w:r>
          </w:p>
        </w:tc>
      </w:tr>
      <w:tr>
        <w:trPr>
          <w:trHeight w:val="568" w:hRule="atLeast"/>
        </w:trPr>
        <w:tc>
          <w:tcPr>
            <w:tcW w:w="1915" w:type="dxa"/>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Purpose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To ensure awareness and benefits of the programme by the potential candidates for DDR </w:t>
            </w:r>
          </w:p>
        </w:tc>
      </w:tr>
      <w:tr>
        <w:trPr>
          <w:trHeight w:val="1800"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Description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61" w:line="239" w:lineRule="auto"/>
              <w:ind w:left="0" w:right="56" w:firstLine="0"/>
            </w:pPr>
            <w:r>
              <w:rPr/>
              <w:t xml:space="preserve">Action 2.1.: Initiate and conduct a series of public information and sensitization events based on outreach strategy developed, including design and broadcast a series of radio programmes on DDR and CSAC Sensitisation in state capitals and communities.  </w:t>
            </w:r>
          </w:p>
          <w:p>
            <w:pPr>
              <w:spacing w:before="0" w:after="59" w:line="240" w:lineRule="auto"/>
              <w:ind w:left="0" w:right="0" w:firstLine="0"/>
            </w:pPr>
            <w:r>
              <w:rPr/>
              <w:t xml:space="preserve">Action 2.2. Initiate meetings with commanders and community leaders in high priority communities to raise awareness on DDR processes and benefits </w:t>
            </w:r>
          </w:p>
          <w:p>
            <w:pPr>
              <w:spacing w:before="0" w:after="0" w:line="259" w:lineRule="auto"/>
              <w:ind w:left="0" w:right="0" w:firstLine="0"/>
            </w:pPr>
            <w:r>
              <w:rPr/>
              <w:t xml:space="preserve">Action 2.3.: Lobbying and facilitating a dialogue between the key players of the process </w:t>
            </w:r>
          </w:p>
        </w:tc>
      </w:tr>
      <w:tr>
        <w:trPr>
          <w:trHeight w:val="98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Quality Criteria </w:t>
            </w:r>
          </w:p>
          <w:p>
            <w:pPr>
              <w:spacing w:before="0" w:after="0" w:line="259" w:lineRule="auto"/>
              <w:ind w:left="0" w:right="0" w:firstLine="0"/>
              <w:jc w:val="left"/>
            </w:pPr>
            <w:r>
              <w:rPr>
                <w:sz w:val="18"/>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Quality Method </w:t>
            </w:r>
          </w:p>
          <w:p>
            <w:pPr>
              <w:spacing w:before="0" w:after="0" w:line="259" w:lineRule="auto"/>
              <w:ind w:left="0" w:right="0" w:firstLine="0"/>
              <w:jc w:val="left"/>
            </w:pPr>
            <w:r>
              <w:rPr>
                <w:rFonts w:cs="Arial" w:hAnsi="Arial" w:eastAsia="Arial" w:ascii="Arial"/>
                <w:i w:val="1"/>
                <w:sz w:val="18"/>
              </w:rPr>
              <w:t xml:space="preserve">Means of verification. What method will be used to determine if quality criteria has been met? </w:t>
            </w:r>
          </w:p>
        </w:tc>
        <w:tc>
          <w:tcPr>
            <w:tcW w:w="2513"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Date of Assessment </w:t>
            </w:r>
          </w:p>
          <w:p>
            <w:pPr>
              <w:spacing w:before="0" w:after="0" w:line="259" w:lineRule="auto"/>
              <w:ind w:left="0" w:right="0" w:firstLine="0"/>
            </w:pPr>
            <w:r>
              <w:rPr>
                <w:rFonts w:cs="Arial" w:hAnsi="Arial" w:eastAsia="Arial" w:ascii="Arial"/>
                <w:i w:val="1"/>
                <w:sz w:val="18"/>
              </w:rPr>
              <w:t xml:space="preserve">When will the assessment of quality be performed? </w:t>
            </w:r>
          </w:p>
        </w:tc>
      </w:tr>
      <w:tr>
        <w:trPr>
          <w:trHeight w:val="99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53" w:firstLine="0"/>
              <w:jc w:val="left"/>
            </w:pPr>
            <w:r>
              <w:rPr/>
              <w:t xml:space="preserve">(1) Number and coverage of radio programmes and other cultural events to raise awareness and sensitization on DDR process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Reports on PIS events conducted by </w:t>
            </w:r>
          </w:p>
          <w:p>
            <w:pPr>
              <w:spacing w:before="0" w:after="42" w:line="259" w:lineRule="auto"/>
              <w:ind w:left="0" w:right="0" w:firstLine="0"/>
              <w:jc w:val="left"/>
            </w:pPr>
            <w:r>
              <w:rPr/>
              <w:t xml:space="preserve">Public Information Officer </w:t>
            </w:r>
          </w:p>
          <w:p>
            <w:pPr>
              <w:spacing w:before="0" w:after="0" w:line="259" w:lineRule="auto"/>
              <w:ind w:left="0" w:right="0" w:firstLine="0"/>
              <w:jc w:val="left"/>
            </w:pPr>
            <w:r>
              <w:rPr/>
              <w:t xml:space="preserve">Mass media reports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1 Jun 2010 </w:t>
            </w:r>
          </w:p>
          <w:p>
            <w:pPr>
              <w:spacing w:before="0" w:after="42" w:line="259" w:lineRule="auto"/>
              <w:ind w:left="0" w:right="0" w:firstLine="0"/>
              <w:jc w:val="left"/>
            </w:pPr>
            <w:r>
              <w:rPr/>
              <w:t xml:space="preserve"> </w:t>
            </w:r>
          </w:p>
          <w:p>
            <w:pPr>
              <w:spacing w:before="0" w:after="0" w:line="259" w:lineRule="auto"/>
              <w:ind w:left="0" w:right="0" w:firstLine="0"/>
              <w:jc w:val="left"/>
            </w:pPr>
            <w:r>
              <w:rPr/>
              <w:t xml:space="preserve">1 Dec 2010 </w:t>
            </w:r>
          </w:p>
        </w:tc>
      </w:tr>
      <w:tr>
        <w:trPr>
          <w:trHeight w:val="990"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(2) Feedback collected from commanders and community leaders on raising awareness on DDR processes and benefits. </w:t>
            </w:r>
          </w:p>
        </w:tc>
        <w:tc>
          <w:tcPr>
            <w:tcW w:w="3600" w:type="dxa"/>
            <w:tcBorders>
              <w:top w:val="single" w:sz="4" w:color="000000"/>
              <w:left w:val="single" w:sz="4" w:color="000000"/>
              <w:bottom w:val="single" w:sz="4" w:color="000000"/>
              <w:right w:val="single" w:sz="4" w:color="000000"/>
            </w:tcBorders>
            <w:vAlign w:val="top"/>
          </w:tcPr>
          <w:p>
            <w:pPr>
              <w:tabs>
                <w:tab w:val="center" w:pos="1976"/>
                <w:tab w:val="right" w:pos="3440"/>
              </w:tabs>
              <w:spacing w:before="0" w:after="0" w:line="259" w:lineRule="auto"/>
              <w:ind w:left="0" w:right="0" w:firstLine="0"/>
              <w:jc w:val="left"/>
            </w:pPr>
            <w:r>
              <w:rPr/>
              <w:t xml:space="preserve">Minutes/reports 	on 	meetings </w:t>
            </w:r>
          </w:p>
          <w:p>
            <w:pPr>
              <w:spacing w:before="0" w:after="0" w:line="259" w:lineRule="auto"/>
              <w:ind w:left="0" w:right="0" w:firstLine="0"/>
              <w:jc w:val="left"/>
            </w:pPr>
            <w:r>
              <w:rPr/>
              <w:t xml:space="preserve">conducted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Biannually </w:t>
            </w:r>
          </w:p>
          <w:p>
            <w:pPr>
              <w:spacing w:before="0" w:after="0" w:line="259" w:lineRule="auto"/>
              <w:ind w:left="0" w:right="0" w:firstLine="0"/>
              <w:jc w:val="left"/>
            </w:pPr>
            <w:r>
              <w:rPr/>
              <w:t xml:space="preserve"> </w:t>
            </w:r>
          </w:p>
        </w:tc>
      </w:tr>
    </w:tbl>
    <w:p>
      <w:pPr>
        <w:spacing w:before="0" w:after="0" w:line="259" w:lineRule="auto"/>
        <w:ind w:left="0" w:right="0" w:firstLine="0"/>
      </w:pPr>
      <w:r>
        <w:rPr>
          <w:sz w:val="22"/>
        </w:rPr>
        <w:t xml:space="preserve"> </w:t>
      </w:r>
    </w:p>
    <w:tbl>
      <w:tblPr>
        <w:tblStyle w:val="TableGrid"/>
        <w:tblW w:w="9828" w:type="dxa"/>
        <w:tblInd w:w="-120" w:type="dxa"/>
        <w:tblCellMar>
          <w:top w:w="9" w:type="dxa"/>
          <w:left w:w="108" w:type="dxa"/>
          <w:bottom w:w="0" w:type="dxa"/>
          <w:right w:w="51" w:type="dxa"/>
        </w:tblCellMar>
      </w:tblPr>
      <w:tblGrid>
        <w:gridCol w:w="1915"/>
        <w:gridCol w:w="1800"/>
        <w:gridCol w:w="3600"/>
        <w:gridCol w:w="2513"/>
      </w:tblGrid>
      <w:tr>
        <w:trPr>
          <w:trHeight w:val="574" w:hRule="atLeast"/>
        </w:trPr>
        <w:tc>
          <w:tcPr>
            <w:tcW w:w="9828" w:type="dxa"/>
            <w:gridSpan w:val="4"/>
            <w:tcBorders>
              <w:top w:val="single" w:sz="4" w:color="000000"/>
              <w:left w:val="single" w:sz="4" w:color="000000"/>
              <w:bottom w:val="single" w:sz="4" w:color="000000"/>
              <w:right w:val="single" w:sz="4" w:color="000000"/>
            </w:tcBorders>
            <w:vAlign w:val="top"/>
          </w:tcPr>
          <w:p>
            <w:pPr>
              <w:spacing w:before="0" w:after="0" w:line="259" w:lineRule="auto"/>
              <w:ind w:left="7" w:right="0" w:firstLine="0"/>
            </w:pPr>
            <w:r>
              <w:rPr>
                <w:rFonts w:cs="Arial" w:hAnsi="Arial" w:eastAsia="Arial" w:ascii="Arial"/>
                <w:b w:val="1"/>
              </w:rPr>
              <w:t xml:space="preserve">OUTPUT 3:</w:t>
            </w:r>
            <w:r>
              <w:rPr>
                <w:sz w:val="22"/>
              </w:rPr>
              <w:t xml:space="preserve"> </w:t>
            </w:r>
            <w:r>
              <w:rPr>
                <w:rFonts w:cs="Arial" w:hAnsi="Arial" w:eastAsia="Arial" w:ascii="Arial"/>
                <w:b w:val="1"/>
              </w:rPr>
              <w:t xml:space="preserve">Action Plan for the full-fledged Darfur DDR programme agreed upon and designed in a participatory manner with all key stakeholders involved </w:t>
            </w:r>
          </w:p>
        </w:tc>
      </w:tr>
      <w:tr>
        <w:trPr>
          <w:trHeight w:val="1049" w:hRule="atLeast"/>
        </w:trPr>
        <w:tc>
          <w:tcPr>
            <w:tcW w:w="1915"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Arial" w:hAnsi="Arial" w:eastAsia="Arial" w:ascii="Arial"/>
                <w:b w:val="1"/>
              </w:rPr>
              <w:t xml:space="preserve">Activity Result 1 </w:t>
            </w:r>
          </w:p>
          <w:p>
            <w:pPr>
              <w:spacing w:before="0" w:after="0" w:line="259" w:lineRule="auto"/>
              <w:ind w:left="0" w:right="0" w:firstLine="0"/>
              <w:jc w:val="left"/>
            </w:pPr>
            <w:r>
              <w:rPr>
                <w:rFonts w:cs="Arial" w:hAnsi="Arial" w:eastAsia="Arial" w:ascii="Arial"/>
                <w:b w:val="1"/>
              </w:rPr>
              <w:t xml:space="preserve">(Atlas Activity ID) </w:t>
            </w:r>
          </w:p>
        </w:tc>
        <w:tc>
          <w:tcPr>
            <w:tcW w:w="5400" w:type="dxa"/>
            <w:gridSpan w:val="2"/>
            <w:tcBorders>
              <w:top w:val="single" w:sz="4" w:color="000000"/>
              <w:left w:val="single" w:sz="4" w:color="000000"/>
              <w:bottom w:val="single" w:sz="4" w:color="000000"/>
              <w:right w:val="single" w:sz="4" w:color="000000"/>
            </w:tcBorders>
            <w:vAlign w:val="top"/>
          </w:tcPr>
          <w:p>
            <w:pPr>
              <w:spacing w:before="0" w:after="59" w:line="239" w:lineRule="auto"/>
              <w:ind w:left="0" w:right="52" w:firstLine="0"/>
            </w:pPr>
            <w:r>
              <w:rPr>
                <w:rFonts w:cs="Arial" w:hAnsi="Arial" w:eastAsia="Arial" w:ascii="Arial"/>
                <w:b w:val="1"/>
              </w:rPr>
              <w:t xml:space="preserve">Activity Result (1) A comprehensive participatory consultative process to design Darfur DDR project concept, strategy and workplan facilitated. </w:t>
            </w:r>
          </w:p>
          <w:p>
            <w:pPr>
              <w:spacing w:before="0" w:after="0" w:line="259" w:lineRule="auto"/>
              <w:ind w:left="0" w:right="0" w:firstLine="0"/>
              <w:jc w:val="left"/>
            </w:pPr>
            <w:r>
              <w:rPr/>
              <w:t xml:space="preserve">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Start Date: 1 Jul 2009 </w:t>
            </w:r>
          </w:p>
          <w:p>
            <w:pPr>
              <w:spacing w:before="0" w:after="0" w:line="259" w:lineRule="auto"/>
              <w:ind w:left="0" w:right="0" w:firstLine="0"/>
              <w:jc w:val="left"/>
            </w:pPr>
            <w:r>
              <w:rPr/>
              <w:t xml:space="preserve">End Date: 31 Dec. 2010 </w:t>
            </w:r>
          </w:p>
        </w:tc>
      </w:tr>
      <w:tr>
        <w:trPr>
          <w:trHeight w:val="568" w:hRule="atLeast"/>
        </w:trPr>
        <w:tc>
          <w:tcPr>
            <w:tcW w:w="1915" w:type="dxa"/>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Purpose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pPr>
            <w:r>
              <w:rPr/>
              <w:t xml:space="preserve">DDR concept and activities are informed at the State governments level as well as population. DPA, particularly its security components, is also notified. </w:t>
            </w:r>
          </w:p>
        </w:tc>
      </w:tr>
      <w:tr>
        <w:trPr>
          <w:trHeight w:val="2550" w:hRule="atLeast"/>
        </w:trPr>
        <w:tc>
          <w:tcPr>
            <w:tcW w:w="1915"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Description </w:t>
            </w:r>
          </w:p>
          <w:p>
            <w:pPr>
              <w:spacing w:before="0" w:after="0" w:line="259" w:lineRule="auto"/>
              <w:ind w:left="0" w:right="0" w:firstLine="0"/>
              <w:jc w:val="left"/>
            </w:pPr>
            <w:r>
              <w:rPr>
                <w:rFonts w:cs="Arial" w:hAnsi="Arial" w:eastAsia="Arial" w:ascii="Arial"/>
                <w:i w:val="1"/>
                <w:sz w:val="18"/>
              </w:rPr>
              <w:t xml:space="preserve"> </w:t>
            </w:r>
          </w:p>
        </w:tc>
        <w:tc>
          <w:tcPr>
            <w:tcW w:w="7913" w:type="dxa"/>
            <w:gridSpan w:val="3"/>
            <w:tcBorders>
              <w:top w:val="single" w:sz="4" w:color="000000"/>
              <w:left w:val="single" w:sz="4" w:color="000000"/>
              <w:bottom w:val="single" w:sz="4" w:color="000000"/>
              <w:right w:val="single" w:sz="4" w:color="000000"/>
            </w:tcBorders>
            <w:vAlign w:val="top"/>
          </w:tcPr>
          <w:p>
            <w:pPr>
              <w:spacing w:before="0" w:after="59" w:line="240" w:lineRule="auto"/>
              <w:ind w:left="0" w:right="57" w:firstLine="0"/>
            </w:pPr>
            <w:r>
              <w:rPr/>
              <w:t xml:space="preserve">Action 1.1.: Conduct consultations and discussions with institutions and key partners on policy development, drafting of policy and joint meetings to review and agree on policies and implementation strategies </w:t>
            </w:r>
          </w:p>
          <w:p>
            <w:pPr>
              <w:spacing w:before="0" w:after="60" w:line="240" w:lineRule="auto"/>
              <w:ind w:left="0" w:right="0" w:firstLine="0"/>
            </w:pPr>
            <w:r>
              <w:rPr/>
              <w:t xml:space="preserve">Action 1.2.: Develop CSAC strategy and project document under the Darfur DDR framework with linkage to National CSAC Strategy of NSDDRC </w:t>
            </w:r>
          </w:p>
          <w:p>
            <w:pPr>
              <w:spacing w:before="0" w:after="59" w:line="239" w:lineRule="auto"/>
              <w:ind w:left="0" w:right="56" w:firstLine="0"/>
            </w:pPr>
            <w:r>
              <w:rPr/>
              <w:t xml:space="preserve">Action 1.3.: Key programme tools, including baseline surveys, reintegration mapping exercises and MIS, are jointly developed and implemented by national counterparts and UNDP  </w:t>
            </w:r>
          </w:p>
          <w:p>
            <w:pPr>
              <w:spacing w:before="0" w:after="0" w:line="259" w:lineRule="auto"/>
              <w:ind w:left="0" w:right="0" w:firstLine="0"/>
            </w:pPr>
            <w:r>
              <w:rPr/>
              <w:t xml:space="preserve">Action 1.4.: Draft a full-fledged project document for  Darfur DDR and submit for endorsement to the NSDDRC </w:t>
            </w:r>
          </w:p>
        </w:tc>
      </w:tr>
      <w:tr>
        <w:trPr>
          <w:trHeight w:val="774" w:hRule="atLeast"/>
        </w:trPr>
        <w:tc>
          <w:tcPr>
            <w:tcW w:w="3715" w:type="dxa"/>
            <w:gridSpan w:val="2"/>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Arial" w:hAnsi="Arial" w:eastAsia="Arial" w:ascii="Arial"/>
                <w:b w:val="1"/>
              </w:rPr>
              <w:t xml:space="preserve">Quality Criteria </w:t>
            </w:r>
          </w:p>
          <w:p>
            <w:pPr>
              <w:spacing w:before="0" w:after="0" w:line="259" w:lineRule="auto"/>
              <w:ind w:left="0" w:right="0" w:firstLine="0"/>
              <w:jc w:val="left"/>
            </w:pPr>
            <w:r>
              <w:rPr>
                <w:sz w:val="18"/>
              </w:rPr>
              <w:t xml:space="preserve"> </w:t>
            </w:r>
          </w:p>
        </w:tc>
        <w:tc>
          <w:tcPr>
            <w:tcW w:w="3600"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Quality Method </w:t>
            </w:r>
          </w:p>
          <w:p>
            <w:pPr>
              <w:spacing w:before="0" w:after="0" w:line="259" w:lineRule="auto"/>
              <w:ind w:left="0" w:right="0" w:firstLine="0"/>
              <w:jc w:val="left"/>
            </w:pPr>
            <w:r>
              <w:rPr>
                <w:rFonts w:cs="Arial" w:hAnsi="Arial" w:eastAsia="Arial" w:ascii="Arial"/>
                <w:i w:val="1"/>
                <w:sz w:val="18"/>
              </w:rPr>
              <w:t xml:space="preserve">Means of verification. What method will be used to determine if quality criteria has </w:t>
            </w:r>
          </w:p>
        </w:tc>
        <w:tc>
          <w:tcPr>
            <w:tcW w:w="2513" w:type="dxa"/>
            <w:tcBorders>
              <w:top w:val="single" w:sz="4" w:color="000000"/>
              <w:left w:val="single" w:sz="4" w:color="000000"/>
              <w:bottom w:val="single" w:sz="4" w:color="000000"/>
              <w:right w:val="single" w:sz="4" w:color="000000"/>
            </w:tcBorders>
            <w:vAlign w:val="top"/>
          </w:tcPr>
          <w:p>
            <w:pPr>
              <w:spacing w:before="0" w:after="24" w:line="259" w:lineRule="auto"/>
              <w:ind w:left="0" w:right="0" w:firstLine="0"/>
              <w:jc w:val="left"/>
            </w:pPr>
            <w:r>
              <w:rPr>
                <w:rFonts w:cs="Arial" w:hAnsi="Arial" w:eastAsia="Arial" w:ascii="Arial"/>
                <w:b w:val="1"/>
              </w:rPr>
              <w:t xml:space="preserve">Date of Assessment </w:t>
            </w:r>
          </w:p>
          <w:p>
            <w:pPr>
              <w:spacing w:before="0" w:after="0" w:line="259" w:lineRule="auto"/>
              <w:ind w:left="0" w:right="0" w:firstLine="0"/>
            </w:pPr>
            <w:r>
              <w:rPr>
                <w:rFonts w:cs="Arial" w:hAnsi="Arial" w:eastAsia="Arial" w:ascii="Arial"/>
                <w:i w:val="1"/>
                <w:sz w:val="18"/>
              </w:rPr>
              <w:t xml:space="preserve">When will the assessment of quality be performed? </w:t>
            </w:r>
          </w:p>
        </w:tc>
      </w:tr>
    </w:tbl>
    <w:p>
      <w:pPr>
        <w:spacing w:before="0" w:after="0" w:line="259" w:lineRule="auto"/>
        <w:ind w:left="-1152" w:right="10756" w:firstLine="0"/>
        <w:jc w:val="left"/>
      </w:pPr>
    </w:p>
    <w:tbl>
      <w:tblPr>
        <w:tblStyle w:val="TableGrid"/>
        <w:tblW w:w="9828" w:type="dxa"/>
        <w:tblInd w:w="-120" w:type="dxa"/>
        <w:tblCellMar>
          <w:top w:w="10" w:type="dxa"/>
          <w:left w:w="108" w:type="dxa"/>
          <w:bottom w:w="0" w:type="dxa"/>
          <w:right w:w="94" w:type="dxa"/>
        </w:tblCellMar>
      </w:tblPr>
      <w:tblGrid>
        <w:gridCol w:w="3715"/>
        <w:gridCol w:w="3600"/>
        <w:gridCol w:w="2513"/>
      </w:tblGrid>
      <w:tr>
        <w:trPr>
          <w:trHeight w:val="276" w:hRule="atLeast"/>
        </w:trPr>
        <w:tc>
          <w:tcPr>
            <w:tcW w:w="371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i w:val="1"/>
                <w:sz w:val="18"/>
              </w:rPr>
              <w:t xml:space="preserve">been met? </w:t>
            </w:r>
          </w:p>
        </w:tc>
        <w:tc>
          <w:tcPr>
            <w:tcW w:w="251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61"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Feedback collected during the consultation and discussion process with key partners on DDR and CSAC. </w:t>
            </w:r>
          </w:p>
        </w:tc>
        <w:tc>
          <w:tcPr>
            <w:tcW w:w="3600" w:type="dxa"/>
            <w:tcBorders>
              <w:top w:val="single" w:sz="4" w:color="000000"/>
              <w:left w:val="single" w:sz="4" w:color="000000"/>
              <w:bottom w:val="single" w:sz="4" w:color="000000"/>
              <w:right w:val="single" w:sz="4" w:color="000000"/>
            </w:tcBorders>
            <w:vAlign w:val="top"/>
          </w:tcPr>
          <w:p>
            <w:pPr>
              <w:spacing w:before="0" w:after="1" w:line="239" w:lineRule="auto"/>
              <w:ind w:left="0" w:right="0" w:firstLine="0"/>
              <w:jc w:val="left"/>
            </w:pPr>
            <w:r>
              <w:rPr/>
              <w:t xml:space="preserve">Protocol/minutes of consultative meetings on full-fledged DDR </w:t>
            </w:r>
          </w:p>
          <w:p>
            <w:pPr>
              <w:spacing w:before="0" w:after="0" w:line="259" w:lineRule="auto"/>
              <w:ind w:left="0" w:right="0" w:firstLine="0"/>
              <w:jc w:val="left"/>
            </w:pPr>
            <w:r>
              <w:rPr/>
              <w:t xml:space="preserve">programme design  </w:t>
            </w:r>
          </w:p>
        </w:tc>
        <w:tc>
          <w:tcPr>
            <w:tcW w:w="251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Quarterly </w:t>
            </w:r>
          </w:p>
        </w:tc>
      </w:tr>
      <w:tr>
        <w:trPr>
          <w:trHeight w:val="1219"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Key programme tools jointly developed by NSDDRC and UNDP (baseline surveys, reintegration mapping exercise and MIS) serve as a basis for planning full-fledged DDR project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Project document developed details all required technical aspects for implementing a full-fledged DDR project  </w:t>
            </w:r>
          </w:p>
        </w:tc>
        <w:tc>
          <w:tcPr>
            <w:tcW w:w="2513"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t xml:space="preserve">28 Feb 2010 </w:t>
            </w:r>
          </w:p>
          <w:p>
            <w:pPr>
              <w:spacing w:before="0" w:after="40" w:line="259" w:lineRule="auto"/>
              <w:ind w:left="0" w:right="0" w:firstLine="0"/>
              <w:jc w:val="left"/>
            </w:pPr>
            <w:r>
              <w:rPr/>
              <w:t xml:space="preserve"> </w:t>
            </w:r>
          </w:p>
          <w:p>
            <w:pPr>
              <w:spacing w:before="0" w:after="42" w:line="259" w:lineRule="auto"/>
              <w:ind w:left="0" w:right="0" w:firstLine="0"/>
              <w:jc w:val="left"/>
            </w:pPr>
            <w:r>
              <w:rPr/>
              <w:t xml:space="preserve">28 Feb 2011 </w:t>
            </w:r>
          </w:p>
          <w:p>
            <w:pPr>
              <w:spacing w:before="0" w:after="0" w:line="259" w:lineRule="auto"/>
              <w:ind w:left="0" w:right="0" w:firstLine="0"/>
              <w:jc w:val="left"/>
            </w:pPr>
            <w:r>
              <w:rPr/>
              <w:t xml:space="preserve"> </w:t>
            </w:r>
          </w:p>
        </w:tc>
      </w:tr>
      <w:tr>
        <w:trPr>
          <w:trHeight w:val="991" w:hRule="atLeast"/>
        </w:trPr>
        <w:tc>
          <w:tcPr>
            <w:tcW w:w="37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The main phase DDR project concept, document and workplan including financial and managerial arrangements formalized. </w:t>
            </w:r>
          </w:p>
        </w:tc>
        <w:tc>
          <w:tcPr>
            <w:tcW w:w="360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Project document signed   </w:t>
            </w:r>
          </w:p>
        </w:tc>
        <w:tc>
          <w:tcPr>
            <w:tcW w:w="2513" w:type="dxa"/>
            <w:tcBorders>
              <w:top w:val="single" w:sz="4" w:color="000000"/>
              <w:left w:val="single" w:sz="4" w:color="000000"/>
              <w:bottom w:val="single" w:sz="4" w:color="000000"/>
              <w:right w:val="single" w:sz="4" w:color="000000"/>
            </w:tcBorders>
            <w:vAlign w:val="top"/>
          </w:tcPr>
          <w:p>
            <w:pPr>
              <w:spacing w:before="0" w:after="40" w:line="259" w:lineRule="auto"/>
              <w:ind w:left="0" w:right="0" w:firstLine="0"/>
              <w:jc w:val="left"/>
            </w:pPr>
            <w:r>
              <w:rPr/>
              <w:t xml:space="preserve">28 Feb 2010 </w:t>
            </w:r>
          </w:p>
          <w:p>
            <w:pPr>
              <w:spacing w:before="0" w:after="42" w:line="259" w:lineRule="auto"/>
              <w:ind w:left="0" w:right="0" w:firstLine="0"/>
              <w:jc w:val="left"/>
            </w:pPr>
            <w:r>
              <w:rPr/>
              <w:t xml:space="preserve"> </w:t>
            </w:r>
          </w:p>
          <w:p>
            <w:pPr>
              <w:spacing w:before="0" w:after="0" w:line="259" w:lineRule="auto"/>
              <w:ind w:left="0" w:right="0" w:firstLine="0"/>
              <w:jc w:val="left"/>
            </w:pPr>
            <w:r>
              <w:rPr/>
              <w:t xml:space="preserve">28 Feb 2011 </w:t>
            </w:r>
          </w:p>
        </w:tc>
      </w:tr>
    </w:tbl>
    <w:p>
      <w:r>
        <w:br w:type="page"/>
      </w:r>
    </w:p>
    <w:p>
      <w:pPr>
        <w:spacing w:before="0" w:after="39"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p>
    <w:p>
      <w:pPr>
        <w:spacing w:before="0" w:after="60" w:line="259" w:lineRule="auto"/>
        <w:ind w:left="-30" w:right="-28" w:firstLine="0"/>
        <w:jc w:val="left"/>
      </w:pPr>
      <w:r>
        <w:rPr>
          <w:rFonts w:cs="Calibri" w:hAnsi="Calibri" w:eastAsia="Calibri" w:ascii="Calibri"/>
          <w:sz w:val="22"/>
        </w:rPr>
        <w:drawing>
          <wp:inline distT="0" distB="0" distL="0" distR="0">
            <wp:extent cx="6135624" cy="6096"/>
            <wp:docPr id="58890" name="Group 58890"/>
            <wp:cNvGraphicFramePr/>
            <a:graphic>
              <a:graphicData uri="http://schemas.microsoft.com/office/word/2010/wordprocessingGroup">
                <wpg:wgp>
                  <wpg:cNvGrpSpPr/>
                  <wpg:grpSpPr>
                    <a:xfrm>
                      <a:off x="0" y="0"/>
                      <a:ext cx="6135624" cy="6096"/>
                      <a:chOff x="0" y="0"/>
                      <a:chExt cx="6135624" cy="6096"/>
                    </a:xfrm>
                  </wpg:grpSpPr>
                  <wps:wsp>
                    <wps:cNvPr id="62696" name="Shape 62696"/>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1586"/>
        </w:tabs>
        <w:spacing w:before="0" w:after="117" w:line="259" w:lineRule="auto"/>
        <w:ind w:left="-15" w:firstLine="0"/>
      </w:pPr>
      <w:r>
        <w:rPr>
          <w:sz w:val="28"/>
        </w:rPr>
        <w:t xml:space="preserve">VI.</w:t>
      </w:r>
      <w:r>
        <w:rPr>
          <w:rFonts w:cs="Arial" w:hAnsi="Arial" w:eastAsia="Arial" w:ascii="Arial"/>
          <w:sz w:val="28"/>
        </w:rPr>
        <w:t xml:space="preserve"> 	</w:t>
      </w:r>
      <w:r>
        <w:rPr>
          <w:sz w:val="28"/>
        </w:rPr>
        <w:t xml:space="preserve">L</w:t>
      </w:r>
      <w:r>
        <w:rPr/>
        <w:t xml:space="preserve">EGAL </w:t>
      </w:r>
      <w:r>
        <w:rPr>
          <w:sz w:val="28"/>
        </w:rPr>
        <w:t xml:space="preserve">C</w:t>
      </w:r>
      <w:r>
        <w:rPr/>
        <w:t xml:space="preserve">ONTEXT</w:t>
      </w:r>
      <w:r>
        <w:rPr>
          <w:sz w:val="28"/>
        </w:rPr>
        <w:t xml:space="preserve"> </w:t>
      </w:r>
    </w:p>
    <w:p>
      <w:pPr>
        <w:pStyle w:val="normal"/>
        <w:spacing w:before="0" w:after="52" w:line="249" w:lineRule="auto"/>
        <w:ind w:left="10" w:right="42"/>
      </w:pPr>
      <w:r>
        <w:rPr/>
        <w:t xml:space="preserve">This document together with the CPAP signed by the Government and UNDP which is incorporated by reference constitute together a Project Document as referred to in the SBAA [or other appropriate governing agreement] and all CPAP provisions apply to this document.   </w:t>
      </w:r>
    </w:p>
    <w:p>
      <w:pPr>
        <w:pStyle w:val="normal"/>
        <w:spacing w:before="0" w:after="52" w:line="249" w:lineRule="auto"/>
        <w:ind w:left="10" w:right="42"/>
      </w:pPr>
      <w:r>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pPr>
        <w:pStyle w:val="normal"/>
        <w:spacing w:before="0" w:after="110" w:line="249" w:lineRule="auto"/>
        <w:ind w:left="10" w:right="42"/>
      </w:pPr>
      <w:r>
        <w:rPr/>
        <w:t xml:space="preserve">The implementing partner shall: </w:t>
      </w:r>
    </w:p>
    <w:p>
      <w:pPr>
        <w:pStyle w:val="normal"/>
        <w:numPr>
          <w:ilvl w:val="0"/>
          <w:numId w:val="12"/>
        </w:numPr>
        <w:spacing w:before="0" w:after="52" w:line="249" w:lineRule="auto"/>
        <w:ind w:left="360" w:right="42" w:hanging="360"/>
      </w:pPr>
      <w:r>
        <w:rPr/>
        <w:t xml:space="preserve">put in place an appropriate security plan and maintain the security plan, taking into account the security situation in the country where the project is being carried; </w:t>
      </w:r>
    </w:p>
    <w:p>
      <w:pPr>
        <w:pStyle w:val="normal"/>
        <w:numPr>
          <w:ilvl w:val="0"/>
          <w:numId w:val="12"/>
        </w:numPr>
        <w:spacing w:before="0" w:after="52" w:line="249" w:lineRule="auto"/>
        <w:ind w:left="360" w:right="42" w:hanging="360"/>
      </w:pPr>
      <w:r>
        <w:rPr/>
        <w:t xml:space="preserve">assume all risks and liabilities related to the implementing partner’s security, and the full implementation of the security plan. </w:t>
      </w:r>
    </w:p>
    <w:p>
      <w:pPr>
        <w:pStyle w:val="normal"/>
        <w:spacing w:before="0" w:after="52" w:line="249" w:lineRule="auto"/>
        <w:ind w:left="10" w:right="42"/>
      </w:pPr>
      <w:r>
        <w:rPr/>
        <w:t xml:space="preserve">UNDP reserves the right to verify whether such a plan is in place, and to suggest modifications to the plan when necessary. Failure to maintain and implement an appropriate security plan as required hereunder shall be deemed a breach of this agreement. </w:t>
      </w:r>
    </w:p>
    <w:p>
      <w:pPr>
        <w:pStyle w:val="normal"/>
        <w:spacing w:before="0" w:after="52" w:line="249" w:lineRule="auto"/>
        <w:ind w:left="10" w:right="42"/>
      </w:pPr>
      <w:r>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r>
        <w:rPr>
          <w:u w:val="single" w:color="000000"/>
        </w:rPr>
        <w:t xml:space="preserve">http://www.un.org/Docs/sc/committees/1267/1267ListEng.htm</w:t>
      </w:r>
      <w:r>
        <w:rPr/>
        <w:t xml:space="preserve">. This provision must be included in all sub-contracts or sub-agreements entered into under this Project Document”.  </w:t>
      </w:r>
    </w:p>
    <w:p>
      <w:pPr>
        <w:spacing w:before="0" w:after="0" w:line="259" w:lineRule="auto"/>
        <w:ind w:left="0" w:right="0" w:firstLine="0"/>
        <w:jc w:val="left"/>
      </w:pPr>
      <w:r>
        <w:rPr>
          <w:sz w:val="22"/>
        </w:rPr>
        <w:t xml:space="preserve"> </w:t>
      </w:r>
    </w:p>
    <w:p>
      <w:pPr>
        <w:spacing w:before="0" w:after="21" w:line="259" w:lineRule="auto"/>
        <w:ind w:left="-30" w:right="-28" w:firstLine="0"/>
        <w:jc w:val="left"/>
      </w:pPr>
      <w:r>
        <w:rPr>
          <w:rFonts w:cs="Calibri" w:hAnsi="Calibri" w:eastAsia="Calibri" w:ascii="Calibri"/>
          <w:sz w:val="22"/>
        </w:rPr>
        <w:drawing>
          <wp:inline distT="0" distB="0" distL="0" distR="0">
            <wp:extent cx="6135624" cy="6096"/>
            <wp:docPr id="58891" name="Group 58891"/>
            <wp:cNvGraphicFramePr/>
            <a:graphic>
              <a:graphicData uri="http://schemas.microsoft.com/office/word/2010/wordprocessingGroup">
                <wpg:wgp>
                  <wpg:cNvGrpSpPr/>
                  <wpg:grpSpPr>
                    <a:xfrm>
                      <a:off x="0" y="0"/>
                      <a:ext cx="6135624" cy="6096"/>
                      <a:chOff x="0" y="0"/>
                      <a:chExt cx="6135624" cy="6096"/>
                    </a:xfrm>
                  </wpg:grpSpPr>
                  <wps:wsp>
                    <wps:cNvPr id="62699" name="Shape 62699"/>
                    <wps:cNvSpPr/>
                    <wps:spPr>
                      <a:xfrm>
                        <a:off x="0" y="0"/>
                        <a:ext cx="6135624" cy="9144"/>
                      </a:xfrm>
                      <a:custGeom>
                        <a:pathLst>
                          <a:path w="6135624" h="9144">
                            <a:moveTo>
                              <a:pt x="0" y="0"/>
                            </a:moveTo>
                            <a:lnTo>
                              <a:pt x="6135624" y="0"/>
                            </a:lnTo>
                            <a:lnTo>
                              <a:pt x="613562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spacing w:before="0" w:after="121" w:line="259" w:lineRule="auto"/>
        <w:ind w:left="0" w:firstLine="0"/>
      </w:pPr>
      <w:r>
        <w:rPr>
          <w:sz w:val="28"/>
        </w:rPr>
        <w:t xml:space="preserve">VIII. ANNEX </w:t>
      </w:r>
    </w:p>
    <w:p>
      <w:pPr>
        <w:spacing w:before="0" w:after="40" w:line="259" w:lineRule="auto"/>
        <w:ind w:left="0" w:right="0" w:firstLine="0"/>
        <w:jc w:val="left"/>
      </w:pPr>
      <w:r>
        <w:rPr>
          <w:rFonts w:cs="Arial" w:hAnsi="Arial" w:eastAsia="Arial" w:ascii="Arial"/>
          <w:b w:val="1"/>
          <w:sz w:val="22"/>
        </w:rPr>
        <w:t xml:space="preserve"> </w:t>
      </w:r>
    </w:p>
    <w:p>
      <w:pPr>
        <w:pStyle w:val="heading2"/>
        <w:spacing w:before="0" w:after="21" w:line="259" w:lineRule="auto"/>
        <w:ind w:left="-5"/>
      </w:pPr>
      <w:r>
        <w:rPr>
          <w:sz w:val="22"/>
        </w:rPr>
        <w:t xml:space="preserve">Risk Analysis </w:t>
      </w:r>
    </w:p>
    <w:p>
      <w:pPr>
        <w:pStyle w:val="normal"/>
        <w:spacing w:before="0" w:after="52" w:line="249" w:lineRule="auto"/>
        <w:ind w:left="10" w:right="42"/>
      </w:pPr>
      <w:r>
        <w:rPr/>
        <w:t xml:space="preserve">This project is contingent on continued political commitment to resolve conflicts in Darfur and protect civilians from rebel violence.  Success of the project extremely depends upon the sustained political will of all parties concerned and their commitments to the Darfur Peace Agreement. </w:t>
      </w:r>
    </w:p>
    <w:p>
      <w:pPr>
        <w:pStyle w:val="normal"/>
        <w:spacing w:before="0" w:after="52" w:line="249" w:lineRule="auto"/>
        <w:ind w:left="10" w:right="42"/>
      </w:pPr>
      <w:r>
        <w:rPr/>
        <w:t xml:space="preserve">The project will only succeed within an inter-agency framework and a multi-sectoral approach.  Finally, this project is dependent on adequate funds to enable its full implementation. </w:t>
      </w:r>
    </w:p>
    <w:p>
      <w:pPr>
        <w:spacing w:before="0" w:after="0" w:line="259" w:lineRule="auto"/>
        <w:ind w:left="0" w:right="0" w:firstLine="0"/>
        <w:jc w:val="left"/>
      </w:pPr>
      <w:r>
        <w:rPr/>
        <w:t xml:space="preserve"> </w:t>
      </w:r>
    </w:p>
    <w:p>
      <w:pPr>
        <w:sectPr>
          <w:footerReference w:type="even" r:id="rId12"/>
          <w:footerReference w:type="default" r:id="rId11"/>
          <w:footerReference w:type="first" r:id="rId10"/>
          <w:pgSz w:w="11900" w:h="16840" w:orient="portrait"/>
          <w:pgMar w:left="1152" w:top="726" w:right="1144" w:bottom="496"/>
          <w:cols/>
          <w:titlePg/>
        </w:sectPr>
      </w:pPr>
    </w:p>
    <w:p>
      <w:pPr>
        <w:spacing w:before="0" w:after="196" w:line="259" w:lineRule="auto"/>
        <w:ind w:left="0" w:right="0" w:firstLine="0"/>
        <w:jc w:val="left"/>
      </w:pPr>
      <w:r>
        <w:rPr>
          <w:sz w:val="22"/>
        </w:rPr>
        <w:t xml:space="preserve"> </w:t>
      </w:r>
    </w:p>
    <w:p>
      <w:pPr>
        <w:pStyle w:val="heading2"/>
        <w:spacing w:before="0" w:after="0" w:line="259" w:lineRule="auto"/>
        <w:ind w:left="0" w:firstLine="0"/>
        <w:jc w:val="right"/>
      </w:pPr>
      <w:r>
        <w:rPr>
          <w:rFonts w:cs="Century Gothic" w:hAnsi="Century Gothic" w:eastAsia="Century Gothic" w:ascii="Century Gothic"/>
          <w:sz w:val="24"/>
        </w:rPr>
        <w:t xml:space="preserve">RISK LOG </w:t>
      </w:r>
    </w:p>
    <w:p>
      <w:pPr>
        <w:spacing w:before="0" w:after="0" w:line="259" w:lineRule="auto"/>
        <w:ind w:left="0" w:right="473" w:firstLine="0"/>
        <w:jc w:val="right"/>
      </w:pPr>
      <w:r>
        <w:rPr>
          <w:rFonts w:cs="Century Gothic" w:hAnsi="Century Gothic" w:eastAsia="Century Gothic" w:ascii="Century Gothic"/>
          <w:i w:val="1"/>
        </w:rPr>
        <w:t xml:space="preserve"> </w:t>
      </w:r>
    </w:p>
    <w:tbl>
      <w:tblPr>
        <w:tblStyle w:val="TableGrid"/>
        <w:tblW w:w="15188" w:type="dxa"/>
        <w:tblInd w:w="0" w:type="dxa"/>
        <w:tblCellMar>
          <w:top w:w="11" w:type="dxa"/>
          <w:left w:w="106" w:type="dxa"/>
          <w:bottom w:w="0" w:type="dxa"/>
          <w:right w:w="115" w:type="dxa"/>
        </w:tblCellMar>
      </w:tblPr>
      <w:tblGrid>
        <w:gridCol w:w="8664"/>
        <w:gridCol w:w="3190"/>
        <w:gridCol w:w="3334"/>
      </w:tblGrid>
      <w:tr>
        <w:trPr>
          <w:trHeight w:val="323" w:hRule="atLeast"/>
        </w:trPr>
        <w:tc>
          <w:tcPr>
            <w:tcW w:w="8664" w:type="dxa"/>
            <w:tcBorders>
              <w:top w:val="single" w:sz="4" w:color="000000"/>
              <w:left w:val="single" w:sz="4" w:color="000000"/>
              <w:bottom w:val="single" w:sz="4" w:color="000000"/>
              <w:right w:val="single" w:sz="4" w:color="000000"/>
            </w:tcBorders>
            <w:vAlign w:val="top"/>
          </w:tcPr>
          <w:p>
            <w:pPr>
              <w:spacing w:before="0" w:after="0" w:line="259" w:lineRule="auto"/>
              <w:ind w:left="2" w:right="0" w:firstLine="0"/>
              <w:jc w:val="left"/>
            </w:pPr>
            <w:r>
              <w:rPr>
                <w:rFonts w:cs="Arial" w:hAnsi="Arial" w:eastAsia="Arial" w:ascii="Arial"/>
                <w:b w:val="1"/>
                <w:sz w:val="22"/>
              </w:rPr>
              <w:t xml:space="preserve">Project Title:  The Preparatory Support Project for DDR in Darfur </w:t>
            </w:r>
          </w:p>
        </w:tc>
        <w:tc>
          <w:tcPr>
            <w:tcW w:w="319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Arial" w:hAnsi="Arial" w:eastAsia="Arial" w:ascii="Arial"/>
                <w:b w:val="1"/>
                <w:sz w:val="22"/>
              </w:rPr>
              <w:t xml:space="preserve">Award ID: </w:t>
            </w:r>
          </w:p>
        </w:tc>
        <w:tc>
          <w:tcPr>
            <w:tcW w:w="3334"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Arial" w:hAnsi="Arial" w:eastAsia="Arial" w:ascii="Arial"/>
                <w:b w:val="1"/>
                <w:sz w:val="22"/>
              </w:rPr>
              <w:t xml:space="preserve">Date: </w:t>
            </w:r>
          </w:p>
        </w:tc>
      </w:tr>
    </w:tbl>
    <w:p>
      <w:pPr>
        <w:spacing w:before="0" w:after="0" w:line="259" w:lineRule="auto"/>
        <w:ind w:left="0" w:right="461" w:firstLine="0"/>
        <w:jc w:val="right"/>
      </w:pPr>
      <w:r>
        <w:drawing>
          <wp:anchor allowOverlap="0" relativeHeight="0" locked="0" simplePos="0" layoutInCell="1" behindDoc="0">
            <wp:simplePos y="0" x="0"/>
            <wp:positionH relativeFrom="page">
              <wp:posOffset>10041516</wp:posOffset>
            </wp:positionH>
            <wp:positionV relativeFrom="page">
              <wp:posOffset>621793</wp:posOffset>
            </wp:positionV>
            <wp:extent cx="274320" cy="539496"/>
            <wp:effectExtent l="0" t="0" r="0" b="0"/>
            <wp:wrapSquare wrapText="bothSides"/>
            <wp:docPr id="7490" name="Picture 7490"/>
            <wp:cNvGraphicFramePr/>
            <a:graphic>
              <a:graphicData uri="http://schemas.openxmlformats.org/drawingml/2006/picture">
                <pic:pic xmlns:pic="http://schemas.openxmlformats.org/drawingml/2006/picture">
                  <pic:nvPicPr>
                    <pic:cNvPr id="7490" name="Picture 7490"/>
                    <pic:cNvPicPr/>
                  </pic:nvPicPr>
                  <pic:blipFill>
                    <a:blip r:embed="rId24"/>
                    <a:stretch>
                      <a:fillRect/>
                    </a:stretch>
                  </pic:blipFill>
                  <pic:spPr>
                    <a:xfrm>
                      <a:off x="0" y="0"/>
                      <a:ext cx="274320" cy="539496"/>
                    </a:xfrm>
                    <a:prstGeom prst="rect">
                      <a:avLst/>
                    </a:prstGeom>
                  </pic:spPr>
                </pic:pic>
              </a:graphicData>
            </a:graphic>
          </wp:anchor>
        </w:drawing>
      </w:r>
      <w:r>
        <w:rPr>
          <w:rFonts w:cs="Century Gothic" w:hAnsi="Century Gothic" w:eastAsia="Century Gothic" w:ascii="Century Gothic"/>
          <w:b w:val="1"/>
          <w:sz w:val="24"/>
        </w:rPr>
        <w:t xml:space="preserve"> </w:t>
      </w:r>
    </w:p>
    <w:tbl>
      <w:tblPr>
        <w:tblStyle w:val="TableGrid"/>
        <w:tblW w:w="15490" w:type="dxa"/>
        <w:tblInd w:w="-11" w:type="dxa"/>
        <w:tblCellMar>
          <w:top w:w="10" w:type="dxa"/>
          <w:left w:w="107" w:type="dxa"/>
          <w:bottom w:w="0" w:type="dxa"/>
          <w:right w:w="47" w:type="dxa"/>
        </w:tblCellMar>
      </w:tblPr>
      <w:tblGrid>
        <w:gridCol w:w="371"/>
        <w:gridCol w:w="1800"/>
        <w:gridCol w:w="1260"/>
        <w:gridCol w:w="1542"/>
        <w:gridCol w:w="2268"/>
        <w:gridCol w:w="2850"/>
        <w:gridCol w:w="1119"/>
        <w:gridCol w:w="1401"/>
        <w:gridCol w:w="1260"/>
        <w:gridCol w:w="1619"/>
      </w:tblGrid>
      <w:tr>
        <w:trPr>
          <w:trHeight w:val="633" w:hRule="atLeast"/>
        </w:trPr>
        <w:tc>
          <w:tcPr>
            <w:tcW w:w="371"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0" w:right="0" w:firstLine="0"/>
              <w:jc w:val="left"/>
            </w:pPr>
            <w:r>
              <w:rPr>
                <w:rFonts w:cs="Arial" w:hAnsi="Arial" w:eastAsia="Arial" w:ascii="Arial"/>
                <w:b w:val="1"/>
                <w:sz w:val="24"/>
              </w:rPr>
              <w:t xml:space="preserve"># </w:t>
            </w:r>
          </w:p>
        </w:tc>
        <w:tc>
          <w:tcPr>
            <w:tcW w:w="1800"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Description </w:t>
            </w:r>
          </w:p>
        </w:tc>
        <w:tc>
          <w:tcPr>
            <w:tcW w:w="1260"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Date </w:t>
            </w:r>
          </w:p>
          <w:p>
            <w:pPr>
              <w:spacing w:before="0" w:after="0" w:line="259" w:lineRule="auto"/>
              <w:ind w:left="1" w:right="0" w:firstLine="0"/>
              <w:jc w:val="left"/>
            </w:pPr>
            <w:r>
              <w:rPr>
                <w:rFonts w:cs="Arial" w:hAnsi="Arial" w:eastAsia="Arial" w:ascii="Arial"/>
                <w:b w:val="1"/>
                <w:sz w:val="22"/>
              </w:rPr>
              <w:t xml:space="preserve">Identified </w:t>
            </w:r>
          </w:p>
        </w:tc>
        <w:tc>
          <w:tcPr>
            <w:tcW w:w="1542"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Type </w:t>
            </w:r>
          </w:p>
        </w:tc>
        <w:tc>
          <w:tcPr>
            <w:tcW w:w="2268" w:type="dxa"/>
            <w:tcBorders>
              <w:top w:val="single" w:sz="4" w:color="000000"/>
              <w:left w:val="single" w:sz="4" w:color="000000"/>
              <w:bottom w:val="single" w:sz="4" w:color="000000"/>
              <w:right w:val="single" w:sz="4" w:color="000000"/>
            </w:tcBorders>
            <w:shd w:val="clear" w:fill="ffcc00"/>
            <w:vAlign w:val="top"/>
          </w:tcPr>
          <w:p>
            <w:pPr>
              <w:spacing w:before="0" w:after="39" w:line="259" w:lineRule="auto"/>
              <w:ind w:left="1" w:right="0" w:firstLine="0"/>
              <w:jc w:val="left"/>
            </w:pPr>
            <w:r>
              <w:rPr>
                <w:rFonts w:cs="Arial" w:hAnsi="Arial" w:eastAsia="Arial" w:ascii="Arial"/>
                <w:b w:val="1"/>
                <w:sz w:val="22"/>
              </w:rPr>
              <w:t xml:space="preserve">Impact &amp; </w:t>
            </w:r>
          </w:p>
          <w:p>
            <w:pPr>
              <w:spacing w:before="0" w:after="0" w:line="259" w:lineRule="auto"/>
              <w:ind w:left="1" w:right="0" w:firstLine="0"/>
              <w:jc w:val="left"/>
            </w:pPr>
            <w:r>
              <w:rPr>
                <w:rFonts w:cs="Arial" w:hAnsi="Arial" w:eastAsia="Arial" w:ascii="Arial"/>
                <w:b w:val="1"/>
                <w:sz w:val="22"/>
              </w:rPr>
              <w:t xml:space="preserve">Probability </w:t>
            </w:r>
          </w:p>
        </w:tc>
        <w:tc>
          <w:tcPr>
            <w:tcW w:w="2850"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Countermeasures / Mngt response </w:t>
            </w:r>
          </w:p>
        </w:tc>
        <w:tc>
          <w:tcPr>
            <w:tcW w:w="1119"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Owner </w:t>
            </w:r>
          </w:p>
        </w:tc>
        <w:tc>
          <w:tcPr>
            <w:tcW w:w="1401"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Submitted, updated by</w:t>
            </w:r>
          </w:p>
        </w:tc>
        <w:tc>
          <w:tcPr>
            <w:tcW w:w="1260"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Last </w:t>
            </w:r>
          </w:p>
          <w:p>
            <w:pPr>
              <w:spacing w:before="0" w:after="0" w:line="259" w:lineRule="auto"/>
              <w:ind w:left="1" w:right="0" w:firstLine="0"/>
              <w:jc w:val="left"/>
            </w:pPr>
            <w:r>
              <w:rPr>
                <w:rFonts w:cs="Arial" w:hAnsi="Arial" w:eastAsia="Arial" w:ascii="Arial"/>
                <w:b w:val="1"/>
                <w:sz w:val="22"/>
              </w:rPr>
              <w:t xml:space="preserve">Update </w:t>
            </w:r>
          </w:p>
        </w:tc>
        <w:tc>
          <w:tcPr>
            <w:tcW w:w="1619" w:type="dxa"/>
            <w:tcBorders>
              <w:top w:val="single" w:sz="4" w:color="000000"/>
              <w:left w:val="single" w:sz="4" w:color="000000"/>
              <w:bottom w:val="single" w:sz="4" w:color="000000"/>
              <w:right w:val="single" w:sz="4" w:color="000000"/>
            </w:tcBorders>
            <w:shd w:val="clear" w:fill="ffcc00"/>
            <w:vAlign w:val="top"/>
          </w:tcPr>
          <w:p>
            <w:pPr>
              <w:spacing w:before="0" w:after="0" w:line="259" w:lineRule="auto"/>
              <w:ind w:left="1" w:right="0" w:firstLine="0"/>
              <w:jc w:val="left"/>
            </w:pPr>
            <w:r>
              <w:rPr>
                <w:rFonts w:cs="Arial" w:hAnsi="Arial" w:eastAsia="Arial" w:ascii="Arial"/>
                <w:b w:val="1"/>
                <w:sz w:val="22"/>
              </w:rPr>
              <w:t xml:space="preserve">Status </w:t>
            </w:r>
          </w:p>
        </w:tc>
      </w:tr>
      <w:tr>
        <w:trPr>
          <w:trHeight w:val="4111" w:hRule="atLeast"/>
        </w:trPr>
        <w:tc>
          <w:tcPr>
            <w:tcW w:w="37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1 </w:t>
            </w:r>
          </w:p>
        </w:tc>
        <w:tc>
          <w:tcPr>
            <w:tcW w:w="1800" w:type="dxa"/>
            <w:tcBorders>
              <w:top w:val="single" w:sz="4" w:color="000000"/>
              <w:left w:val="single" w:sz="4" w:color="000000"/>
              <w:bottom w:val="single" w:sz="4" w:color="000000"/>
              <w:right w:val="single" w:sz="4" w:color="000000"/>
            </w:tcBorders>
            <w:vAlign w:val="top"/>
          </w:tcPr>
          <w:p>
            <w:pPr>
              <w:spacing w:before="0" w:after="1" w:line="239" w:lineRule="auto"/>
              <w:ind w:left="1" w:right="8" w:firstLine="0"/>
              <w:jc w:val="left"/>
            </w:pPr>
            <w:r>
              <w:rPr/>
              <w:t xml:space="preserve">Continued political </w:t>
            </w:r>
          </w:p>
          <w:p>
            <w:pPr>
              <w:spacing w:before="0" w:after="0" w:line="259" w:lineRule="auto"/>
              <w:ind w:left="1" w:right="0" w:firstLine="0"/>
              <w:jc w:val="left"/>
            </w:pPr>
            <w:r>
              <w:rPr/>
              <w:t xml:space="preserve">commitment to the DPA, resolution of conflicts in Darfur </w:t>
            </w:r>
          </w:p>
        </w:tc>
        <w:tc>
          <w:tcPr>
            <w:tcW w:w="1260" w:type="dxa"/>
            <w:tcBorders>
              <w:top w:val="single" w:sz="4" w:color="000000"/>
              <w:left w:val="single" w:sz="4" w:color="000000"/>
              <w:bottom w:val="single" w:sz="4" w:color="000000"/>
              <w:right w:val="single" w:sz="4" w:color="000000"/>
            </w:tcBorders>
            <w:vAlign w:val="top"/>
          </w:tcPr>
          <w:p>
            <w:pPr>
              <w:spacing w:before="0" w:after="12" w:line="259" w:lineRule="auto"/>
              <w:ind w:left="1" w:right="0" w:firstLine="0"/>
              <w:jc w:val="left"/>
            </w:pPr>
            <w:r>
              <w:rPr/>
              <w:t xml:space="preserve">26 May </w:t>
            </w:r>
          </w:p>
          <w:p>
            <w:pPr>
              <w:spacing w:before="0" w:after="0" w:line="259" w:lineRule="auto"/>
              <w:ind w:left="1" w:right="0" w:firstLine="0"/>
              <w:jc w:val="left"/>
            </w:pPr>
            <w:r>
              <w:rPr/>
              <w:t xml:space="preserve">2008</w:t>
            </w:r>
            <w:r>
              <w:rPr>
                <w:rFonts w:cs="Arial" w:hAnsi="Arial" w:eastAsia="Arial" w:ascii="Arial"/>
                <w:i w:val="1"/>
              </w:rPr>
              <w:t xml:space="preserve"> </w:t>
            </w:r>
          </w:p>
        </w:tc>
        <w:tc>
          <w:tcPr>
            <w:tcW w:w="1542" w:type="dxa"/>
            <w:tcBorders>
              <w:top w:val="single" w:sz="4" w:color="000000"/>
              <w:left w:val="single" w:sz="4" w:color="000000"/>
              <w:bottom w:val="single" w:sz="4" w:color="000000"/>
              <w:right w:val="single" w:sz="4" w:color="000000"/>
            </w:tcBorders>
            <w:vAlign w:val="top"/>
          </w:tcPr>
          <w:p>
            <w:pPr>
              <w:spacing w:before="0" w:after="40" w:line="259" w:lineRule="auto"/>
              <w:ind w:left="1" w:right="0" w:firstLine="0"/>
              <w:jc w:val="left"/>
            </w:pPr>
            <w:r>
              <w:rPr/>
              <w:t xml:space="preserve">Political </w:t>
            </w:r>
          </w:p>
          <w:p>
            <w:pPr>
              <w:spacing w:before="0" w:after="0" w:line="259" w:lineRule="auto"/>
              <w:ind w:left="1" w:right="0" w:firstLine="0"/>
              <w:jc w:val="left"/>
            </w:pPr>
            <w:r>
              <w:rPr/>
              <w:t xml:space="preserve">  </w:t>
            </w:r>
          </w:p>
        </w:tc>
        <w:tc>
          <w:tcPr>
            <w:tcW w:w="2268" w:type="dxa"/>
            <w:tcBorders>
              <w:top w:val="single" w:sz="4" w:color="000000"/>
              <w:left w:val="single" w:sz="4" w:color="000000"/>
              <w:bottom w:val="single" w:sz="4" w:color="000000"/>
              <w:right w:val="single" w:sz="4" w:color="000000"/>
            </w:tcBorders>
            <w:vAlign w:val="top"/>
          </w:tcPr>
          <w:p>
            <w:pPr>
              <w:spacing w:before="0" w:after="61" w:line="239" w:lineRule="auto"/>
              <w:ind w:left="1" w:right="0" w:firstLine="0"/>
              <w:jc w:val="left"/>
            </w:pPr>
            <w:r>
              <w:rPr/>
              <w:t xml:space="preserve">Without political commitment of GoNU, GoSS, all armed groups involved and any other political stakeholders in the region, the formal DDR will never succeed and have no impact on security improvement. </w:t>
            </w:r>
          </w:p>
          <w:p>
            <w:pPr>
              <w:spacing w:before="0" w:after="42" w:line="259" w:lineRule="auto"/>
              <w:ind w:left="1" w:right="0" w:firstLine="0"/>
              <w:jc w:val="left"/>
            </w:pPr>
            <w:r>
              <w:rPr/>
              <w:t xml:space="preserve"> </w:t>
            </w:r>
          </w:p>
          <w:p>
            <w:pPr>
              <w:spacing w:before="0" w:after="40" w:line="259" w:lineRule="auto"/>
              <w:ind w:left="1" w:right="0" w:firstLine="0"/>
              <w:jc w:val="left"/>
            </w:pPr>
            <w:r>
              <w:rPr/>
              <w:t xml:space="preserve">Probability = 3-4 </w:t>
            </w:r>
          </w:p>
          <w:p>
            <w:pPr>
              <w:spacing w:before="0" w:after="42" w:line="259" w:lineRule="auto"/>
              <w:ind w:left="1" w:right="0" w:firstLine="0"/>
              <w:jc w:val="left"/>
            </w:pPr>
            <w:r>
              <w:rPr/>
              <w:t xml:space="preserve">Impact = 5 </w:t>
            </w:r>
          </w:p>
          <w:p>
            <w:pPr>
              <w:spacing w:before="0" w:after="42" w:line="259" w:lineRule="auto"/>
              <w:ind w:left="1" w:right="0" w:firstLine="0"/>
              <w:jc w:val="left"/>
            </w:pPr>
            <w:r>
              <w:rPr/>
              <w:t xml:space="preserve">1 (low) to 5 (high)  </w:t>
            </w:r>
          </w:p>
          <w:p>
            <w:pPr>
              <w:spacing w:before="0" w:after="40" w:line="259" w:lineRule="auto"/>
              <w:ind w:left="1" w:right="0" w:firstLine="0"/>
              <w:jc w:val="left"/>
            </w:pPr>
            <w:r>
              <w:rPr/>
              <w:t xml:space="preserve"> </w:t>
            </w:r>
          </w:p>
          <w:p>
            <w:pPr>
              <w:spacing w:before="0" w:after="0" w:line="259" w:lineRule="auto"/>
              <w:ind w:left="1" w:right="0" w:firstLine="0"/>
              <w:jc w:val="left"/>
            </w:pPr>
            <w:r>
              <w:rPr/>
              <w:t xml:space="preserve"> </w:t>
            </w:r>
          </w:p>
        </w:tc>
        <w:tc>
          <w:tcPr>
            <w:tcW w:w="2850" w:type="dxa"/>
            <w:tcBorders>
              <w:top w:val="single" w:sz="4" w:color="000000"/>
              <w:left w:val="single" w:sz="4" w:color="000000"/>
              <w:bottom w:val="single" w:sz="4" w:color="000000"/>
              <w:right w:val="single" w:sz="4" w:color="000000"/>
            </w:tcBorders>
            <w:vAlign w:val="top"/>
          </w:tcPr>
          <w:p>
            <w:pPr>
              <w:numPr>
                <w:ilvl w:val="0"/>
                <w:numId w:val="18"/>
              </w:numPr>
              <w:spacing w:before="0" w:after="73" w:line="240" w:lineRule="auto"/>
              <w:ind w:left="253" w:right="0" w:hanging="252"/>
              <w:jc w:val="left"/>
            </w:pPr>
            <w:r>
              <w:rPr/>
              <w:t xml:space="preserve">Cease hostilities through a constructive dialogue and negotiation </w:t>
            </w:r>
          </w:p>
          <w:p>
            <w:pPr>
              <w:numPr>
                <w:ilvl w:val="0"/>
                <w:numId w:val="18"/>
              </w:numPr>
              <w:spacing w:before="0" w:after="73" w:line="240" w:lineRule="auto"/>
              <w:ind w:left="253" w:right="0" w:hanging="252"/>
              <w:jc w:val="left"/>
            </w:pPr>
            <w:r>
              <w:rPr/>
              <w:t xml:space="preserve">Urge compliance of parties to disarmament and forces withdrawal provisions made in the DPA </w:t>
            </w:r>
          </w:p>
          <w:p>
            <w:pPr>
              <w:numPr>
                <w:ilvl w:val="0"/>
                <w:numId w:val="18"/>
              </w:numPr>
              <w:spacing w:before="0" w:after="0" w:line="259" w:lineRule="auto"/>
              <w:ind w:left="253" w:right="0" w:hanging="252"/>
              <w:jc w:val="left"/>
            </w:pPr>
            <w:r>
              <w:rPr/>
              <w:t xml:space="preserve">Will facilitate the agreement on eligibility criteria for the individuals to enter the programme.   </w:t>
            </w:r>
          </w:p>
        </w:tc>
        <w:tc>
          <w:tcPr>
            <w:tcW w:w="11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UNAMID </w:t>
            </w:r>
          </w:p>
        </w:tc>
        <w:tc>
          <w:tcPr>
            <w:tcW w:w="1401" w:type="dxa"/>
            <w:tcBorders>
              <w:top w:val="single" w:sz="4" w:color="000000"/>
              <w:left w:val="single" w:sz="4" w:color="000000"/>
              <w:bottom w:val="single" w:sz="4" w:color="000000"/>
              <w:right w:val="single" w:sz="4" w:color="000000"/>
            </w:tcBorders>
            <w:vAlign w:val="top"/>
          </w:tcPr>
          <w:p>
            <w:pPr>
              <w:spacing w:before="0" w:after="61" w:line="239" w:lineRule="auto"/>
              <w:ind w:left="0" w:right="0" w:hanging="0"/>
              <w:jc w:val="left"/>
            </w:pPr>
            <w:r>
              <w:rPr/>
              <w:t xml:space="preserve">Tomokazu Serizawa, </w:t>
            </w:r>
          </w:p>
          <w:p>
            <w:pPr>
              <w:spacing w:before="0" w:after="0" w:line="259" w:lineRule="auto"/>
              <w:ind w:left="1" w:right="0" w:firstLine="0"/>
              <w:jc w:val="left"/>
            </w:pPr>
            <w:r>
              <w:rPr/>
              <w:t xml:space="preserve">UNDP </w:t>
            </w:r>
          </w:p>
        </w:tc>
        <w:tc>
          <w:tcPr>
            <w:tcW w:w="1260" w:type="dxa"/>
            <w:tcBorders>
              <w:top w:val="single" w:sz="4" w:color="000000"/>
              <w:left w:val="single" w:sz="4" w:color="000000"/>
              <w:bottom w:val="single" w:sz="4" w:color="000000"/>
              <w:right w:val="single" w:sz="4" w:color="000000"/>
            </w:tcBorders>
            <w:vAlign w:val="top"/>
          </w:tcPr>
          <w:p>
            <w:pPr>
              <w:tabs>
                <w:tab w:val="right" w:pos="1106"/>
              </w:tabs>
              <w:spacing w:before="0" w:after="18" w:line="259" w:lineRule="auto"/>
              <w:ind w:left="0" w:right="0" w:firstLine="0"/>
              <w:jc w:val="left"/>
            </w:pPr>
            <w:r>
              <w:rPr/>
              <w:t xml:space="preserve">2 	August </w:t>
            </w:r>
          </w:p>
          <w:p>
            <w:pPr>
              <w:spacing w:before="0" w:after="0" w:line="259" w:lineRule="auto"/>
              <w:ind w:left="1" w:right="0" w:firstLine="0"/>
              <w:jc w:val="left"/>
            </w:pPr>
            <w:r>
              <w:rPr/>
              <w:t xml:space="preserve">2009</w:t>
            </w:r>
            <w:r>
              <w:rPr>
                <w:rFonts w:cs="Arial" w:hAnsi="Arial" w:eastAsia="Arial" w:ascii="Arial"/>
                <w:i w:val="1"/>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Increasing </w:t>
            </w:r>
          </w:p>
        </w:tc>
      </w:tr>
      <w:tr>
        <w:trPr>
          <w:trHeight w:val="2779" w:hRule="atLeast"/>
        </w:trPr>
        <w:tc>
          <w:tcPr>
            <w:tcW w:w="37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2 </w:t>
            </w:r>
          </w:p>
        </w:tc>
        <w:tc>
          <w:tcPr>
            <w:tcW w:w="1800" w:type="dxa"/>
            <w:tcBorders>
              <w:top w:val="single" w:sz="4" w:color="000000"/>
              <w:left w:val="single" w:sz="4" w:color="000000"/>
              <w:bottom w:val="single" w:sz="4" w:color="000000"/>
              <w:right w:val="single" w:sz="4" w:color="000000"/>
            </w:tcBorders>
            <w:vAlign w:val="top"/>
          </w:tcPr>
          <w:p>
            <w:pPr>
              <w:spacing w:before="0" w:after="0" w:line="240" w:lineRule="auto"/>
              <w:ind w:left="1" w:right="0" w:firstLine="0"/>
              <w:jc w:val="left"/>
            </w:pPr>
            <w:r>
              <w:rPr/>
              <w:t xml:space="preserve">Inter-agency framework and a </w:t>
            </w:r>
          </w:p>
          <w:p>
            <w:pPr>
              <w:spacing w:before="0" w:after="0" w:line="259" w:lineRule="auto"/>
              <w:ind w:left="1" w:right="0" w:firstLine="0"/>
              <w:jc w:val="left"/>
            </w:pPr>
            <w:r>
              <w:rPr/>
              <w:t xml:space="preserve">multi-sectoral approach </w:t>
            </w:r>
          </w:p>
        </w:tc>
        <w:tc>
          <w:tcPr>
            <w:tcW w:w="126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26 May </w:t>
            </w:r>
          </w:p>
          <w:p>
            <w:pPr>
              <w:spacing w:before="0" w:after="0" w:line="259" w:lineRule="auto"/>
              <w:ind w:left="1" w:right="0" w:firstLine="0"/>
              <w:jc w:val="left"/>
            </w:pPr>
            <w:r>
              <w:rPr/>
              <w:t xml:space="preserve">2008</w:t>
            </w:r>
            <w:r>
              <w:rPr>
                <w:sz w:val="22"/>
              </w:rPr>
              <w:t xml:space="preserve"> </w:t>
            </w:r>
          </w:p>
        </w:tc>
        <w:tc>
          <w:tcPr>
            <w:tcW w:w="1542" w:type="dxa"/>
            <w:tcBorders>
              <w:top w:val="single" w:sz="4" w:color="000000"/>
              <w:left w:val="single" w:sz="4" w:color="000000"/>
              <w:bottom w:val="single" w:sz="4" w:color="000000"/>
              <w:right w:val="single" w:sz="4" w:color="000000"/>
            </w:tcBorders>
            <w:vAlign w:val="top"/>
          </w:tcPr>
          <w:p>
            <w:pPr>
              <w:spacing w:before="0" w:after="42" w:line="259" w:lineRule="auto"/>
              <w:ind w:left="1" w:right="0" w:firstLine="0"/>
              <w:jc w:val="left"/>
            </w:pPr>
            <w:r>
              <w:rPr/>
              <w:t xml:space="preserve">Organisational </w:t>
            </w:r>
          </w:p>
          <w:p>
            <w:pPr>
              <w:spacing w:before="0" w:after="0" w:line="259" w:lineRule="auto"/>
              <w:ind w:left="1" w:right="0" w:firstLine="0"/>
              <w:jc w:val="left"/>
            </w:pPr>
            <w:r>
              <w:rPr/>
              <w:t xml:space="preserve"> </w:t>
            </w:r>
          </w:p>
        </w:tc>
        <w:tc>
          <w:tcPr>
            <w:tcW w:w="2268" w:type="dxa"/>
            <w:tcBorders>
              <w:top w:val="single" w:sz="4" w:color="000000"/>
              <w:left w:val="single" w:sz="4" w:color="000000"/>
              <w:bottom w:val="single" w:sz="4" w:color="000000"/>
              <w:right w:val="single" w:sz="4" w:color="000000"/>
            </w:tcBorders>
            <w:vAlign w:val="top"/>
          </w:tcPr>
          <w:p>
            <w:pPr>
              <w:spacing w:before="0" w:after="0" w:line="240" w:lineRule="auto"/>
              <w:ind w:left="1" w:right="0" w:firstLine="0"/>
              <w:jc w:val="left"/>
            </w:pPr>
            <w:r>
              <w:rPr/>
              <w:t xml:space="preserve">Clear demarcation of the functional role in Darfur DDR between UNDP and UNAMID </w:t>
            </w:r>
          </w:p>
          <w:p>
            <w:pPr>
              <w:spacing w:before="0" w:after="59" w:line="240" w:lineRule="auto"/>
              <w:ind w:left="1" w:right="0" w:firstLine="0"/>
              <w:jc w:val="left"/>
            </w:pPr>
            <w:r>
              <w:rPr/>
              <w:t xml:space="preserve">will be the key to success from the viewpoint of interagency framework. </w:t>
            </w:r>
          </w:p>
          <w:p>
            <w:pPr>
              <w:spacing w:before="0" w:after="42" w:line="259" w:lineRule="auto"/>
              <w:ind w:left="1" w:right="0" w:firstLine="0"/>
              <w:jc w:val="left"/>
            </w:pPr>
            <w:r>
              <w:rPr/>
              <w:t xml:space="preserve"> </w:t>
            </w:r>
          </w:p>
          <w:p>
            <w:pPr>
              <w:spacing w:before="0" w:after="42" w:line="259" w:lineRule="auto"/>
              <w:ind w:left="1" w:right="0" w:firstLine="0"/>
              <w:jc w:val="left"/>
            </w:pPr>
            <w:r>
              <w:rPr/>
              <w:t xml:space="preserve">P = 1-2 </w:t>
            </w:r>
          </w:p>
          <w:p>
            <w:pPr>
              <w:spacing w:before="0" w:after="0" w:line="259" w:lineRule="auto"/>
              <w:ind w:left="1" w:right="0" w:firstLine="0"/>
              <w:jc w:val="left"/>
            </w:pPr>
            <w:r>
              <w:rPr/>
              <w:t xml:space="preserve">I = 4 </w:t>
            </w:r>
          </w:p>
        </w:tc>
        <w:tc>
          <w:tcPr>
            <w:tcW w:w="2850" w:type="dxa"/>
            <w:tcBorders>
              <w:top w:val="single" w:sz="4" w:color="000000"/>
              <w:left w:val="single" w:sz="4" w:color="000000"/>
              <w:bottom w:val="single" w:sz="4" w:color="000000"/>
              <w:right w:val="single" w:sz="4" w:color="000000"/>
            </w:tcBorders>
            <w:vAlign w:val="top"/>
          </w:tcPr>
          <w:p>
            <w:pPr>
              <w:numPr>
                <w:ilvl w:val="0"/>
                <w:numId w:val="19"/>
              </w:numPr>
              <w:spacing w:before="0" w:after="72" w:line="242" w:lineRule="auto"/>
              <w:ind w:left="253" w:right="0" w:hanging="252"/>
              <w:jc w:val="left"/>
            </w:pPr>
            <w:r>
              <w:rPr/>
              <w:t xml:space="preserve">Hold regular interagency meeting </w:t>
            </w:r>
          </w:p>
          <w:p>
            <w:pPr>
              <w:numPr>
                <w:ilvl w:val="0"/>
                <w:numId w:val="19"/>
              </w:numPr>
              <w:spacing w:before="0" w:after="23" w:line="259" w:lineRule="auto"/>
              <w:ind w:left="253" w:right="0" w:hanging="252"/>
              <w:jc w:val="left"/>
            </w:pPr>
            <w:r>
              <w:rPr/>
              <w:t xml:space="preserve">Agree on ToRs </w:t>
            </w:r>
          </w:p>
          <w:p>
            <w:pPr>
              <w:spacing w:before="0" w:after="0" w:line="259" w:lineRule="auto"/>
              <w:ind w:left="1" w:right="0" w:firstLine="0"/>
              <w:jc w:val="left"/>
            </w:pPr>
            <w:r>
              <w:rPr>
                <w:sz w:val="22"/>
              </w:rPr>
              <w:t xml:space="preserve"> </w:t>
            </w:r>
          </w:p>
        </w:tc>
        <w:tc>
          <w:tcPr>
            <w:tcW w:w="11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UNDP </w:t>
            </w:r>
          </w:p>
        </w:tc>
        <w:tc>
          <w:tcPr>
            <w:tcW w:w="1401" w:type="dxa"/>
            <w:tcBorders>
              <w:top w:val="single" w:sz="4" w:color="000000"/>
              <w:left w:val="single" w:sz="4" w:color="000000"/>
              <w:bottom w:val="single" w:sz="4" w:color="000000"/>
              <w:right w:val="single" w:sz="4" w:color="000000"/>
            </w:tcBorders>
            <w:vAlign w:val="top"/>
          </w:tcPr>
          <w:p>
            <w:pPr>
              <w:spacing w:before="0" w:after="73" w:line="240" w:lineRule="auto"/>
              <w:ind w:left="0" w:right="0" w:hanging="0"/>
              <w:jc w:val="left"/>
            </w:pPr>
            <w:r>
              <w:rPr/>
              <w:t xml:space="preserve">Tomokazu Serizawa, </w:t>
            </w:r>
          </w:p>
          <w:p>
            <w:pPr>
              <w:spacing w:before="0" w:after="0" w:line="259" w:lineRule="auto"/>
              <w:ind w:left="1" w:right="0" w:firstLine="0"/>
              <w:jc w:val="left"/>
            </w:pPr>
            <w:r>
              <w:rPr/>
              <w:t xml:space="preserve">UNDP</w:t>
            </w:r>
            <w:r>
              <w:rPr>
                <w:sz w:val="22"/>
              </w:rPr>
              <w:t xml:space="preserve"> </w:t>
            </w:r>
          </w:p>
        </w:tc>
        <w:tc>
          <w:tcPr>
            <w:tcW w:w="1260" w:type="dxa"/>
            <w:tcBorders>
              <w:top w:val="single" w:sz="4" w:color="000000"/>
              <w:left w:val="single" w:sz="4" w:color="000000"/>
              <w:bottom w:val="single" w:sz="4" w:color="000000"/>
              <w:right w:val="single" w:sz="4" w:color="000000"/>
            </w:tcBorders>
            <w:vAlign w:val="top"/>
          </w:tcPr>
          <w:p>
            <w:pPr>
              <w:tabs>
                <w:tab w:val="right" w:pos="1106"/>
              </w:tabs>
              <w:spacing w:before="0" w:after="0" w:line="259" w:lineRule="auto"/>
              <w:ind w:left="0" w:right="0" w:firstLine="0"/>
              <w:jc w:val="left"/>
            </w:pPr>
            <w:r>
              <w:rPr/>
              <w:t xml:space="preserve">2 	August </w:t>
            </w:r>
          </w:p>
          <w:p>
            <w:pPr>
              <w:spacing w:before="0" w:after="0" w:line="259" w:lineRule="auto"/>
              <w:ind w:left="1" w:right="0" w:firstLine="0"/>
              <w:jc w:val="left"/>
            </w:pPr>
            <w:r>
              <w:rPr/>
              <w:t xml:space="preserve">2009</w:t>
            </w:r>
            <w:r>
              <w:rPr>
                <w:sz w:val="22"/>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No change </w:t>
            </w:r>
          </w:p>
        </w:tc>
      </w:tr>
      <w:tr>
        <w:trPr>
          <w:trHeight w:val="701" w:hRule="atLeast"/>
        </w:trPr>
        <w:tc>
          <w:tcPr>
            <w:tcW w:w="37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3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right="19" w:firstLine="0"/>
              <w:jc w:val="left"/>
            </w:pPr>
            <w:r>
              <w:rPr/>
              <w:t xml:space="preserve">Adequate funds to enable its full </w:t>
            </w:r>
          </w:p>
        </w:tc>
        <w:tc>
          <w:tcPr>
            <w:tcW w:w="1260" w:type="dxa"/>
            <w:tcBorders>
              <w:top w:val="single" w:sz="4" w:color="000000"/>
              <w:left w:val="single" w:sz="4" w:color="000000"/>
              <w:bottom w:val="single" w:sz="4" w:color="000000"/>
              <w:right w:val="single" w:sz="4" w:color="000000"/>
            </w:tcBorders>
            <w:vAlign w:val="top"/>
          </w:tcPr>
          <w:p>
            <w:pPr>
              <w:tabs>
                <w:tab w:val="right" w:pos="1106"/>
              </w:tabs>
              <w:spacing w:before="0" w:after="0" w:line="259" w:lineRule="auto"/>
              <w:ind w:left="0" w:right="0" w:firstLine="0"/>
              <w:jc w:val="left"/>
            </w:pPr>
            <w:r>
              <w:rPr/>
              <w:t xml:space="preserve">26 	May </w:t>
            </w:r>
          </w:p>
          <w:p>
            <w:pPr>
              <w:spacing w:before="0" w:after="0" w:line="259" w:lineRule="auto"/>
              <w:ind w:left="1" w:right="0" w:firstLine="0"/>
              <w:jc w:val="left"/>
            </w:pPr>
            <w:r>
              <w:rPr/>
              <w:t xml:space="preserve">2008</w:t>
            </w:r>
            <w:r>
              <w:rPr>
                <w:sz w:val="22"/>
              </w:rPr>
              <w:t xml:space="preserve"> </w:t>
            </w:r>
          </w:p>
        </w:tc>
        <w:tc>
          <w:tcPr>
            <w:tcW w:w="1542"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Financial </w:t>
            </w:r>
          </w:p>
        </w:tc>
        <w:tc>
          <w:tcPr>
            <w:tcW w:w="2268" w:type="dxa"/>
            <w:tcBorders>
              <w:top w:val="single" w:sz="4" w:color="000000"/>
              <w:left w:val="single" w:sz="4" w:color="000000"/>
              <w:bottom w:val="single" w:sz="4" w:color="000000"/>
              <w:right w:val="single" w:sz="4" w:color="000000"/>
            </w:tcBorders>
            <w:vAlign w:val="top"/>
          </w:tcPr>
          <w:p>
            <w:pPr>
              <w:spacing w:before="0" w:after="0" w:line="259" w:lineRule="auto"/>
              <w:ind w:left="1" w:right="0" w:hanging="1"/>
              <w:jc w:val="left"/>
            </w:pPr>
            <w:r>
              <w:rPr/>
              <w:t xml:space="preserve">Although the necessity of DDR in Darfur is fairly acknowledged in </w:t>
            </w:r>
          </w:p>
        </w:tc>
        <w:tc>
          <w:tcPr>
            <w:tcW w:w="285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Segoe UI Symbol" w:hAnsi="Segoe UI Symbol" w:eastAsia="Segoe UI Symbol" w:ascii="Segoe UI Symbol"/>
              </w:rPr>
              <w:t xml:space="preserve">•</w:t>
            </w:r>
            <w:r>
              <w:rPr/>
              <w:t xml:space="preserve"> Hold meetings with </w:t>
            </w:r>
          </w:p>
          <w:p>
            <w:pPr>
              <w:spacing w:before="0" w:after="0" w:line="259" w:lineRule="auto"/>
              <w:ind w:left="253" w:right="0" w:firstLine="0"/>
              <w:jc w:val="left"/>
            </w:pPr>
            <w:r>
              <w:rPr/>
              <w:t xml:space="preserve">NSDDRC on financial </w:t>
            </w:r>
          </w:p>
        </w:tc>
        <w:tc>
          <w:tcPr>
            <w:tcW w:w="11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UNDP </w:t>
            </w:r>
          </w:p>
        </w:tc>
        <w:tc>
          <w:tcPr>
            <w:tcW w:w="1401" w:type="dxa"/>
            <w:tcBorders>
              <w:top w:val="single" w:sz="4" w:color="000000"/>
              <w:left w:val="single" w:sz="4" w:color="000000"/>
              <w:bottom w:val="single" w:sz="4" w:color="000000"/>
              <w:right w:val="single" w:sz="4" w:color="000000"/>
            </w:tcBorders>
            <w:vAlign w:val="top"/>
          </w:tcPr>
          <w:p>
            <w:pPr>
              <w:spacing w:before="0" w:after="0" w:line="259" w:lineRule="auto"/>
              <w:ind w:left="0" w:right="0" w:hanging="0"/>
              <w:jc w:val="left"/>
            </w:pPr>
            <w:r>
              <w:rPr/>
              <w:t xml:space="preserve">Tomokazu Serizawa, </w:t>
            </w:r>
          </w:p>
        </w:tc>
        <w:tc>
          <w:tcPr>
            <w:tcW w:w="1260" w:type="dxa"/>
            <w:tcBorders>
              <w:top w:val="single" w:sz="4" w:color="000000"/>
              <w:left w:val="single" w:sz="4" w:color="000000"/>
              <w:bottom w:val="single" w:sz="4" w:color="000000"/>
              <w:right w:val="single" w:sz="4" w:color="000000"/>
            </w:tcBorders>
            <w:vAlign w:val="top"/>
          </w:tcPr>
          <w:p>
            <w:pPr>
              <w:tabs>
                <w:tab w:val="right" w:pos="1106"/>
              </w:tabs>
              <w:spacing w:before="0" w:after="0" w:line="259" w:lineRule="auto"/>
              <w:ind w:left="0" w:right="0" w:firstLine="0"/>
              <w:jc w:val="left"/>
            </w:pPr>
            <w:r>
              <w:rPr/>
              <w:t xml:space="preserve">2 	August </w:t>
            </w:r>
          </w:p>
          <w:p>
            <w:pPr>
              <w:spacing w:before="0" w:after="0" w:line="259" w:lineRule="auto"/>
              <w:ind w:left="1" w:right="0" w:firstLine="0"/>
              <w:jc w:val="left"/>
            </w:pPr>
            <w:r>
              <w:rPr/>
              <w:t xml:space="preserve">2009</w:t>
            </w:r>
            <w:r>
              <w:rPr>
                <w:sz w:val="22"/>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t xml:space="preserve">No change</w:t>
            </w:r>
            <w:r>
              <w:rPr>
                <w:sz w:val="22"/>
              </w:rPr>
              <w:t xml:space="preserve"> </w:t>
            </w:r>
          </w:p>
        </w:tc>
      </w:tr>
    </w:tbl>
    <w:p>
      <w:pPr>
        <w:spacing w:before="0" w:after="0" w:line="259" w:lineRule="auto"/>
        <w:ind w:left="0" w:right="0" w:firstLine="0"/>
        <w:jc w:val="left"/>
      </w:pPr>
      <w:r>
        <w:rPr>
          <w:sz w:val="22"/>
        </w:rPr>
        <w:t xml:space="preserve"> </w:t>
      </w:r>
    </w:p>
    <w:p>
      <w:pPr>
        <w:spacing w:before="0" w:after="40" w:line="259" w:lineRule="auto"/>
        <w:ind w:left="0" w:right="0" w:firstLine="0"/>
      </w:pPr>
      <w:r>
        <w:rPr>
          <w:rFonts w:cs="Arial" w:hAnsi="Arial" w:eastAsia="Arial" w:ascii="Arial"/>
          <w:b w:val="1"/>
          <w:sz w:val="22"/>
        </w:rPr>
        <w:t xml:space="preserve"> </w:t>
      </w:r>
    </w:p>
    <w:p>
      <w:pPr>
        <w:spacing w:before="0" w:after="0" w:line="259" w:lineRule="auto"/>
        <w:ind w:left="0" w:right="0" w:firstLine="0"/>
      </w:pPr>
      <w:r>
        <w:rPr>
          <w:rFonts w:cs="Arial" w:hAnsi="Arial" w:eastAsia="Arial" w:ascii="Arial"/>
          <w:b w:val="1"/>
          <w:sz w:val="22"/>
        </w:rPr>
        <w:t xml:space="preserve"> </w:t>
      </w:r>
    </w:p>
    <w:tbl>
      <w:tblPr>
        <w:tblStyle w:val="TableGrid"/>
        <w:tblW w:w="15492" w:type="dxa"/>
        <w:tblInd w:w="-12" w:type="dxa"/>
        <w:tblCellMar>
          <w:top w:w="43" w:type="dxa"/>
          <w:left w:w="0" w:type="dxa"/>
          <w:bottom w:w="0" w:type="dxa"/>
          <w:right w:w="52" w:type="dxa"/>
        </w:tblCellMar>
      </w:tblPr>
      <w:tblGrid>
        <w:gridCol w:w="372"/>
        <w:gridCol w:w="1800"/>
        <w:gridCol w:w="773"/>
        <w:gridCol w:w="487"/>
        <w:gridCol w:w="1542"/>
        <w:gridCol w:w="2268"/>
        <w:gridCol w:w="2850"/>
        <w:gridCol w:w="1120"/>
        <w:gridCol w:w="1400"/>
        <w:gridCol w:w="1260"/>
        <w:gridCol w:w="1620"/>
      </w:tblGrid>
      <w:tr>
        <w:trPr>
          <w:trHeight w:val="6426" w:hRule="atLeast"/>
        </w:trPr>
        <w:tc>
          <w:tcPr>
            <w:tcW w:w="37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800" w:type="dxa"/>
            <w:tcBorders>
              <w:top w:val="single" w:sz="4" w:color="000000"/>
              <w:left w:val="single" w:sz="4" w:color="000000"/>
              <w:bottom w:val="single" w:sz="4" w:color="000000"/>
              <w:right w:val="single" w:sz="4" w:color="000000"/>
            </w:tcBorders>
            <w:vAlign w:val="top"/>
          </w:tcPr>
          <w:p>
            <w:pPr>
              <w:spacing w:before="0" w:after="42" w:line="259" w:lineRule="auto"/>
              <w:ind w:left="108" w:right="0" w:firstLine="0"/>
              <w:jc w:val="left"/>
            </w:pPr>
            <w:r>
              <w:rPr/>
              <w:t xml:space="preserve">implementation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 </w:t>
            </w:r>
          </w:p>
          <w:p>
            <w:pPr>
              <w:spacing w:before="0" w:after="0" w:line="259" w:lineRule="auto"/>
              <w:ind w:left="108" w:right="0" w:firstLine="0"/>
              <w:jc w:val="left"/>
            </w:pPr>
            <w:r>
              <w:rPr/>
              <w:t xml:space="preserve"> </w:t>
            </w:r>
          </w:p>
        </w:tc>
        <w:tc>
          <w:tcPr>
            <w:tcW w:w="773"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487"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54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8"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the GoNU and the </w:t>
            </w:r>
          </w:p>
          <w:p>
            <w:pPr>
              <w:spacing w:before="0" w:after="59" w:line="240" w:lineRule="auto"/>
              <w:ind w:left="108" w:right="40" w:firstLine="0"/>
              <w:jc w:val="left"/>
            </w:pPr>
            <w:r>
              <w:rPr/>
              <w:t xml:space="preserve">international community, whether adequate funds are provided will be subject to mainly Sudan/Darfur political situation. </w:t>
            </w:r>
          </w:p>
          <w:p>
            <w:pPr>
              <w:spacing w:before="0" w:after="42" w:line="259" w:lineRule="auto"/>
              <w:ind w:left="108" w:right="0" w:firstLine="0"/>
              <w:jc w:val="left"/>
            </w:pPr>
            <w:r>
              <w:rPr/>
              <w:t xml:space="preserve"> </w:t>
            </w:r>
          </w:p>
          <w:p>
            <w:pPr>
              <w:spacing w:before="0" w:after="40" w:line="259" w:lineRule="auto"/>
              <w:ind w:left="108" w:right="0" w:firstLine="0"/>
              <w:jc w:val="left"/>
            </w:pPr>
            <w:r>
              <w:rPr/>
              <w:t xml:space="preserve">P = 2-3 </w:t>
            </w:r>
          </w:p>
          <w:p>
            <w:pPr>
              <w:spacing w:before="0" w:after="0" w:line="259" w:lineRule="auto"/>
              <w:ind w:left="108" w:right="0" w:firstLine="0"/>
              <w:jc w:val="left"/>
            </w:pPr>
            <w:r>
              <w:rPr/>
              <w:t xml:space="preserve">I =  5 </w:t>
            </w:r>
          </w:p>
        </w:tc>
        <w:tc>
          <w:tcPr>
            <w:tcW w:w="2850" w:type="dxa"/>
            <w:tcBorders>
              <w:top w:val="single" w:sz="4" w:color="000000"/>
              <w:left w:val="single" w:sz="4" w:color="000000"/>
              <w:bottom w:val="single" w:sz="4" w:color="000000"/>
              <w:right w:val="single" w:sz="4" w:color="000000"/>
            </w:tcBorders>
            <w:vAlign w:val="top"/>
          </w:tcPr>
          <w:p>
            <w:pPr>
              <w:spacing w:before="0" w:after="55" w:line="259" w:lineRule="auto"/>
              <w:ind w:left="360" w:right="0" w:firstLine="0"/>
              <w:jc w:val="left"/>
            </w:pPr>
            <w:r>
              <w:rPr/>
              <w:t xml:space="preserve">requirement </w:t>
            </w:r>
          </w:p>
          <w:p>
            <w:pPr>
              <w:numPr>
                <w:ilvl w:val="0"/>
                <w:numId w:val="20"/>
              </w:numPr>
              <w:spacing w:before="0" w:after="72" w:line="240" w:lineRule="auto"/>
              <w:ind w:left="360" w:right="3" w:hanging="252"/>
              <w:jc w:val="left"/>
            </w:pPr>
            <w:r>
              <w:rPr/>
              <w:t xml:space="preserve">Hold ad-hoc meeting with prospective donors and reach agreement on contributions </w:t>
            </w:r>
          </w:p>
          <w:p>
            <w:pPr>
              <w:numPr>
                <w:ilvl w:val="0"/>
                <w:numId w:val="20"/>
              </w:numPr>
              <w:spacing w:before="0" w:after="0" w:line="241" w:lineRule="auto"/>
              <w:ind w:left="360" w:right="3" w:hanging="252"/>
              <w:jc w:val="left"/>
            </w:pPr>
            <w:r>
              <w:rPr/>
              <w:t xml:space="preserve">In addition to the funding being offered by BCPR, the UNDP Sudan Country </w:t>
            </w:r>
          </w:p>
          <w:p>
            <w:pPr>
              <w:spacing w:before="0" w:after="0" w:line="259" w:lineRule="auto"/>
              <w:ind w:left="360" w:right="0" w:firstLine="0"/>
              <w:jc w:val="left"/>
            </w:pPr>
            <w:r>
              <w:rPr/>
              <w:t xml:space="preserve">Office is allocating $300,000 for the start up costs of the project. The GONU will contribute an additional $600,000. To meet the funding requirements, UNDP DDR team is routinely engaging with traditional and nontraditional donors, several of whom have expressed interest in the project. A proposal has also been submitted to the Peacebuilding Fund. Raising additional funds will be facilitated by getting the project off the ground as soon as possible </w:t>
            </w:r>
          </w:p>
        </w:tc>
        <w:tc>
          <w:tcPr>
            <w:tcW w:w="112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0"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t xml:space="preserve">UNDP</w:t>
            </w:r>
          </w:p>
        </w:tc>
        <w:tc>
          <w:tcPr>
            <w:tcW w:w="126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2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780" w:hRule="atLeast"/>
        </w:trPr>
        <w:tc>
          <w:tcPr>
            <w:tcW w:w="37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4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Support of </w:t>
            </w:r>
          </w:p>
          <w:p>
            <w:pPr>
              <w:spacing w:before="0" w:after="0" w:line="240" w:lineRule="auto"/>
              <w:ind w:left="108" w:right="0" w:firstLine="0"/>
              <w:jc w:val="left"/>
            </w:pPr>
            <w:r>
              <w:rPr/>
              <w:t xml:space="preserve">national, local government and communities to assist in the DDR including return </w:t>
            </w:r>
          </w:p>
          <w:p>
            <w:pPr>
              <w:spacing w:before="0" w:after="0" w:line="259" w:lineRule="auto"/>
              <w:ind w:left="108" w:right="0" w:firstLine="0"/>
              <w:jc w:val="left"/>
            </w:pPr>
            <w:r>
              <w:rPr/>
              <w:t xml:space="preserve">of ex-combatants </w:t>
            </w:r>
          </w:p>
          <w:p>
            <w:pPr>
              <w:spacing w:before="0" w:after="0" w:line="259" w:lineRule="auto"/>
              <w:ind w:left="108" w:right="0" w:firstLine="0"/>
              <w:jc w:val="left"/>
            </w:pPr>
            <w:r>
              <w:rPr/>
              <w:t xml:space="preserve">to difficult economic circumstances </w:t>
            </w:r>
          </w:p>
        </w:tc>
        <w:tc>
          <w:tcPr>
            <w:tcW w:w="773" w:type="dxa"/>
            <w:tcBorders>
              <w:top w:val="single" w:sz="4" w:color="000000"/>
              <w:left w:val="single" w:sz="4" w:color="000000"/>
              <w:bottom w:val="single" w:sz="4" w:color="000000"/>
              <w:right w:val="nil"/>
            </w:tcBorders>
            <w:vAlign w:val="top"/>
          </w:tcPr>
          <w:p>
            <w:pPr>
              <w:spacing w:before="0" w:after="0" w:line="259" w:lineRule="auto"/>
              <w:ind w:left="108" w:right="0" w:firstLine="0"/>
              <w:jc w:val="left"/>
            </w:pPr>
            <w:r>
              <w:rPr/>
              <w:t xml:space="preserve">26 </w:t>
            </w:r>
          </w:p>
          <w:p>
            <w:pPr>
              <w:spacing w:before="0" w:after="0" w:line="259" w:lineRule="auto"/>
              <w:ind w:left="108" w:right="0" w:firstLine="0"/>
              <w:jc w:val="left"/>
            </w:pPr>
            <w:r>
              <w:rPr/>
              <w:t xml:space="preserve">2008</w:t>
            </w:r>
            <w:r>
              <w:rPr>
                <w:sz w:val="22"/>
              </w:rPr>
              <w:t xml:space="preserve"> </w:t>
            </w:r>
          </w:p>
        </w:tc>
        <w:tc>
          <w:tcPr>
            <w:tcW w:w="487" w:type="dxa"/>
            <w:tcBorders>
              <w:top w:val="single" w:sz="4" w:color="000000"/>
              <w:left w:val="nil"/>
              <w:bottom w:val="single" w:sz="4" w:color="000000"/>
              <w:right w:val="single" w:sz="4" w:color="000000"/>
            </w:tcBorders>
            <w:vAlign w:val="top"/>
          </w:tcPr>
          <w:p>
            <w:pPr>
              <w:spacing w:before="0" w:after="0" w:line="259" w:lineRule="auto"/>
              <w:ind w:left="0" w:right="0" w:firstLine="0"/>
            </w:pPr>
            <w:r>
              <w:rPr/>
              <w:t xml:space="preserve">May </w:t>
            </w:r>
          </w:p>
        </w:tc>
        <w:tc>
          <w:tcPr>
            <w:tcW w:w="1542" w:type="dxa"/>
            <w:tcBorders>
              <w:top w:val="single" w:sz="4" w:color="000000"/>
              <w:left w:val="single" w:sz="4" w:color="000000"/>
              <w:bottom w:val="single" w:sz="4" w:color="000000"/>
              <w:right w:val="single" w:sz="4" w:color="000000"/>
            </w:tcBorders>
            <w:vAlign w:val="top"/>
          </w:tcPr>
          <w:p>
            <w:pPr>
              <w:spacing w:before="0" w:after="42" w:line="259" w:lineRule="auto"/>
              <w:ind w:left="108" w:right="0" w:firstLine="0"/>
              <w:jc w:val="left"/>
            </w:pPr>
            <w:r>
              <w:rPr/>
              <w:t xml:space="preserve">Strategic </w:t>
            </w:r>
          </w:p>
          <w:p>
            <w:pPr>
              <w:spacing w:before="0" w:after="42" w:line="259" w:lineRule="auto"/>
              <w:ind w:left="108" w:right="0" w:firstLine="0"/>
              <w:jc w:val="left"/>
            </w:pPr>
            <w:r>
              <w:rPr/>
              <w:t xml:space="preserve"> </w:t>
            </w:r>
          </w:p>
          <w:p>
            <w:pPr>
              <w:spacing w:before="0" w:after="0" w:line="259" w:lineRule="auto"/>
              <w:ind w:left="108" w:right="0" w:firstLine="0"/>
              <w:jc w:val="left"/>
            </w:pPr>
            <w:r>
              <w:rPr/>
              <w:t xml:space="preserve"> </w:t>
            </w:r>
          </w:p>
        </w:tc>
        <w:tc>
          <w:tcPr>
            <w:tcW w:w="2268" w:type="dxa"/>
            <w:tcBorders>
              <w:top w:val="single" w:sz="4" w:color="000000"/>
              <w:left w:val="single" w:sz="4" w:color="000000"/>
              <w:bottom w:val="single" w:sz="4" w:color="000000"/>
              <w:right w:val="single" w:sz="4" w:color="000000"/>
            </w:tcBorders>
            <w:vAlign w:val="top"/>
          </w:tcPr>
          <w:p>
            <w:pPr>
              <w:spacing w:before="0" w:after="0" w:line="240" w:lineRule="auto"/>
              <w:ind w:left="108" w:right="0" w:firstLine="0"/>
              <w:jc w:val="left"/>
            </w:pPr>
            <w:r>
              <w:rPr/>
              <w:t xml:space="preserve">The situation requires massive public </w:t>
            </w:r>
          </w:p>
          <w:p>
            <w:pPr>
              <w:spacing w:before="0" w:after="1" w:line="239" w:lineRule="auto"/>
              <w:ind w:left="108" w:right="0" w:firstLine="0"/>
              <w:jc w:val="left"/>
            </w:pPr>
            <w:r>
              <w:rPr/>
              <w:t xml:space="preserve">relations efforts about how DDR can be </w:t>
            </w:r>
          </w:p>
          <w:p>
            <w:pPr>
              <w:spacing w:before="0" w:after="60" w:line="240" w:lineRule="auto"/>
              <w:ind w:left="108" w:right="0" w:firstLine="0"/>
              <w:jc w:val="left"/>
            </w:pPr>
            <w:r>
              <w:rPr/>
              <w:t xml:space="preserve">effective to ease the tension of conflict and difficult economic conditions. </w:t>
            </w:r>
          </w:p>
          <w:p>
            <w:pPr>
              <w:spacing w:before="0" w:after="40" w:line="259" w:lineRule="auto"/>
              <w:ind w:left="108" w:right="0" w:firstLine="0"/>
              <w:jc w:val="left"/>
            </w:pPr>
            <w:r>
              <w:rPr/>
              <w:t xml:space="preserve"> </w:t>
            </w:r>
          </w:p>
          <w:p>
            <w:pPr>
              <w:spacing w:before="0" w:after="42" w:line="259" w:lineRule="auto"/>
              <w:ind w:left="108" w:right="0" w:firstLine="0"/>
              <w:jc w:val="left"/>
            </w:pPr>
            <w:r>
              <w:rPr/>
              <w:t xml:space="preserve">P = 3 </w:t>
            </w:r>
          </w:p>
          <w:p>
            <w:pPr>
              <w:spacing w:before="0" w:after="0" w:line="259" w:lineRule="auto"/>
              <w:ind w:left="108" w:right="0" w:firstLine="0"/>
              <w:jc w:val="left"/>
            </w:pPr>
            <w:r>
              <w:rPr/>
              <w:t xml:space="preserve">I =  4 </w:t>
            </w:r>
          </w:p>
        </w:tc>
        <w:tc>
          <w:tcPr>
            <w:tcW w:w="2850" w:type="dxa"/>
            <w:tcBorders>
              <w:top w:val="single" w:sz="4" w:color="000000"/>
              <w:left w:val="single" w:sz="4" w:color="000000"/>
              <w:bottom w:val="single" w:sz="4" w:color="000000"/>
              <w:right w:val="single" w:sz="4" w:color="000000"/>
            </w:tcBorders>
            <w:vAlign w:val="top"/>
          </w:tcPr>
          <w:p>
            <w:pPr>
              <w:numPr>
                <w:ilvl w:val="0"/>
                <w:numId w:val="21"/>
              </w:numPr>
              <w:spacing w:before="0" w:after="18" w:line="259" w:lineRule="auto"/>
              <w:ind w:left="360" w:right="0" w:hanging="252"/>
              <w:jc w:val="left"/>
            </w:pPr>
            <w:r>
              <w:rPr/>
              <w:t xml:space="preserve">Establish PI strategy </w:t>
            </w:r>
          </w:p>
          <w:p>
            <w:pPr>
              <w:numPr>
                <w:ilvl w:val="0"/>
                <w:numId w:val="21"/>
              </w:numPr>
              <w:spacing w:before="0" w:after="72" w:line="242" w:lineRule="auto"/>
              <w:ind w:left="360" w:right="0" w:hanging="252"/>
              <w:jc w:val="left"/>
            </w:pPr>
            <w:r>
              <w:rPr/>
              <w:t xml:space="preserve">Hold workshops at the state and local levels </w:t>
            </w:r>
          </w:p>
          <w:p>
            <w:pPr>
              <w:numPr>
                <w:ilvl w:val="0"/>
                <w:numId w:val="21"/>
              </w:numPr>
              <w:spacing w:before="0" w:after="79" w:line="240" w:lineRule="auto"/>
              <w:ind w:left="360" w:right="0" w:hanging="252"/>
              <w:jc w:val="left"/>
            </w:pPr>
            <w:r>
              <w:rPr/>
              <w:t xml:space="preserve">Use local media like radio or newspaper to disseminate messages </w:t>
            </w:r>
          </w:p>
          <w:p>
            <w:pPr>
              <w:spacing w:before="0" w:after="0" w:line="259" w:lineRule="auto"/>
              <w:ind w:left="108" w:right="0" w:firstLine="0"/>
              <w:jc w:val="left"/>
            </w:pPr>
            <w:r>
              <w:rPr>
                <w:sz w:val="22"/>
              </w:rPr>
              <w:t xml:space="preserve"> </w:t>
            </w:r>
          </w:p>
        </w:tc>
        <w:tc>
          <w:tcPr>
            <w:tcW w:w="112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pPr>
            <w:r>
              <w:rPr/>
              <w:t xml:space="preserve">NSDDRC </w:t>
            </w:r>
          </w:p>
        </w:tc>
        <w:tc>
          <w:tcPr>
            <w:tcW w:w="1400" w:type="dxa"/>
            <w:tcBorders>
              <w:top w:val="single" w:sz="4" w:color="000000"/>
              <w:left w:val="single" w:sz="4" w:color="000000"/>
              <w:bottom w:val="single" w:sz="4" w:color="000000"/>
              <w:right w:val="single" w:sz="4" w:color="000000"/>
            </w:tcBorders>
            <w:vAlign w:val="top"/>
          </w:tcPr>
          <w:p>
            <w:pPr>
              <w:spacing w:before="0" w:after="73" w:line="240" w:lineRule="auto"/>
              <w:ind w:left="107" w:right="0" w:firstLine="0"/>
              <w:jc w:val="left"/>
            </w:pPr>
            <w:r>
              <w:rPr/>
              <w:t xml:space="preserve">Tomokazu Serizawa, </w:t>
            </w:r>
          </w:p>
          <w:p>
            <w:pPr>
              <w:spacing w:before="0" w:after="0" w:line="259" w:lineRule="auto"/>
              <w:ind w:left="107" w:right="0" w:firstLine="0"/>
              <w:jc w:val="left"/>
            </w:pPr>
            <w:r>
              <w:rPr/>
              <w:t xml:space="preserve">UNDP</w:t>
            </w:r>
            <w:r>
              <w:rPr>
                <w:sz w:val="22"/>
              </w:rPr>
              <w:t xml:space="preserve"> </w:t>
            </w:r>
          </w:p>
        </w:tc>
        <w:tc>
          <w:tcPr>
            <w:tcW w:w="1260" w:type="dxa"/>
            <w:tcBorders>
              <w:top w:val="single" w:sz="4" w:color="000000"/>
              <w:left w:val="single" w:sz="4" w:color="000000"/>
              <w:bottom w:val="single" w:sz="4" w:color="000000"/>
              <w:right w:val="single" w:sz="4" w:color="000000"/>
            </w:tcBorders>
            <w:vAlign w:val="top"/>
          </w:tcPr>
          <w:p>
            <w:pPr>
              <w:tabs>
                <w:tab w:val="right" w:pos="1208"/>
              </w:tabs>
              <w:spacing w:before="0" w:after="0" w:line="259" w:lineRule="auto"/>
              <w:ind w:left="0" w:right="0" w:firstLine="0"/>
              <w:jc w:val="left"/>
            </w:pPr>
            <w:r>
              <w:rPr/>
              <w:t xml:space="preserve">2 	August </w:t>
            </w:r>
          </w:p>
          <w:p>
            <w:pPr>
              <w:spacing w:before="0" w:after="0" w:line="259" w:lineRule="auto"/>
              <w:ind w:left="108" w:right="0" w:firstLine="0"/>
              <w:jc w:val="left"/>
            </w:pPr>
            <w:r>
              <w:rPr/>
              <w:t xml:space="preserve">2009</w:t>
            </w:r>
            <w:r>
              <w:rPr>
                <w:sz w:val="22"/>
              </w:rPr>
              <w:t xml:space="preserve">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No change</w:t>
            </w:r>
            <w:r>
              <w:rPr>
                <w:sz w:val="22"/>
              </w:rPr>
              <w:t xml:space="preserve"> </w:t>
            </w:r>
          </w:p>
        </w:tc>
      </w:tr>
    </w:tbl>
    <w:p>
      <w:pPr>
        <w:spacing w:before="0" w:after="40" w:line="259" w:lineRule="auto"/>
        <w:ind w:left="0" w:right="0" w:firstLine="0"/>
      </w:pPr>
      <w:r>
        <w:rPr>
          <w:rFonts w:cs="Arial" w:hAnsi="Arial" w:eastAsia="Arial" w:ascii="Arial"/>
          <w:b w:val="1"/>
          <w:sz w:val="22"/>
        </w:rPr>
        <w:t xml:space="preserve"> </w:t>
      </w:r>
    </w:p>
    <w:p>
      <w:pPr>
        <w:spacing w:before="0" w:after="0" w:line="259" w:lineRule="auto"/>
        <w:ind w:left="0" w:right="0" w:firstLine="0"/>
      </w:pPr>
      <w:r>
        <w:rPr>
          <w:rFonts w:cs="Arial" w:hAnsi="Arial" w:eastAsia="Arial" w:ascii="Arial"/>
          <w:b w:val="1"/>
          <w:sz w:val="22"/>
        </w:rPr>
        <w:t xml:space="preserve"> </w:t>
      </w:r>
    </w:p>
    <w:tbl>
      <w:tblPr>
        <w:tblStyle w:val="TableGrid"/>
        <w:tblW w:w="15492" w:type="dxa"/>
        <w:tblInd w:w="-12" w:type="dxa"/>
        <w:tblCellMar>
          <w:top w:w="44" w:type="dxa"/>
          <w:left w:w="0" w:type="dxa"/>
          <w:bottom w:w="0" w:type="dxa"/>
          <w:right w:w="52" w:type="dxa"/>
        </w:tblCellMar>
      </w:tblPr>
      <w:tblGrid>
        <w:gridCol w:w="372"/>
        <w:gridCol w:w="1800"/>
        <w:gridCol w:w="773"/>
        <w:gridCol w:w="487"/>
        <w:gridCol w:w="1542"/>
        <w:gridCol w:w="2268"/>
        <w:gridCol w:w="2850"/>
        <w:gridCol w:w="1120"/>
        <w:gridCol w:w="1400"/>
        <w:gridCol w:w="1260"/>
        <w:gridCol w:w="1620"/>
      </w:tblGrid>
      <w:tr>
        <w:trPr>
          <w:trHeight w:val="3930" w:hRule="atLeast"/>
        </w:trPr>
        <w:tc>
          <w:tcPr>
            <w:tcW w:w="37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5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08" w:right="0" w:hanging="0"/>
              <w:jc w:val="left"/>
            </w:pPr>
            <w:r>
              <w:rPr/>
              <w:t xml:space="preserve">Armed conflict, assault, and banditry in the region and protection of  civilians from violence </w:t>
            </w:r>
          </w:p>
        </w:tc>
        <w:tc>
          <w:tcPr>
            <w:tcW w:w="773" w:type="dxa"/>
            <w:tcBorders>
              <w:top w:val="single" w:sz="4" w:color="000000"/>
              <w:left w:val="single" w:sz="4" w:color="000000"/>
              <w:bottom w:val="single" w:sz="4" w:color="000000"/>
              <w:right w:val="nil"/>
            </w:tcBorders>
            <w:vAlign w:val="top"/>
          </w:tcPr>
          <w:p>
            <w:pPr>
              <w:spacing w:before="0" w:after="0" w:line="259" w:lineRule="auto"/>
              <w:ind w:left="108" w:right="0" w:firstLine="0"/>
              <w:jc w:val="left"/>
            </w:pPr>
            <w:r>
              <w:rPr/>
              <w:t xml:space="preserve">26 </w:t>
            </w:r>
          </w:p>
          <w:p>
            <w:pPr>
              <w:spacing w:before="0" w:after="0" w:line="259" w:lineRule="auto"/>
              <w:ind w:left="108" w:right="0" w:firstLine="0"/>
              <w:jc w:val="left"/>
            </w:pPr>
            <w:r>
              <w:rPr/>
              <w:t xml:space="preserve">2008 </w:t>
            </w:r>
          </w:p>
        </w:tc>
        <w:tc>
          <w:tcPr>
            <w:tcW w:w="487" w:type="dxa"/>
            <w:tcBorders>
              <w:top w:val="single" w:sz="4" w:color="000000"/>
              <w:left w:val="nil"/>
              <w:bottom w:val="single" w:sz="4" w:color="000000"/>
              <w:right w:val="single" w:sz="4" w:color="000000"/>
            </w:tcBorders>
            <w:vAlign w:val="top"/>
          </w:tcPr>
          <w:p>
            <w:pPr>
              <w:spacing w:before="0" w:after="0" w:line="259" w:lineRule="auto"/>
              <w:ind w:left="0" w:right="0" w:firstLine="0"/>
            </w:pPr>
            <w:r>
              <w:rPr/>
              <w:t xml:space="preserve">May </w:t>
            </w:r>
          </w:p>
        </w:tc>
        <w:tc>
          <w:tcPr>
            <w:tcW w:w="1542"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Security </w:t>
            </w:r>
          </w:p>
        </w:tc>
        <w:tc>
          <w:tcPr>
            <w:tcW w:w="2268" w:type="dxa"/>
            <w:tcBorders>
              <w:top w:val="single" w:sz="4" w:color="000000"/>
              <w:left w:val="single" w:sz="4" w:color="000000"/>
              <w:bottom w:val="single" w:sz="4" w:color="000000"/>
              <w:right w:val="single" w:sz="4" w:color="000000"/>
            </w:tcBorders>
            <w:vAlign w:val="top"/>
          </w:tcPr>
          <w:p>
            <w:pPr>
              <w:spacing w:before="0" w:after="59" w:line="240" w:lineRule="auto"/>
              <w:ind w:left="108" w:right="50" w:firstLine="1"/>
              <w:jc w:val="left"/>
            </w:pPr>
            <w:r>
              <w:rPr/>
              <w:t xml:space="preserve">Although the security situation in Darfur is relatively calm in most of the region, sporadic but heavy fighting, rampant banditry can severely hamper the DDR operation. Also the increase of security phase could limit the activity and presence of UNDP staff. </w:t>
            </w:r>
          </w:p>
          <w:p>
            <w:pPr>
              <w:spacing w:before="0" w:after="42" w:line="259" w:lineRule="auto"/>
              <w:ind w:left="108" w:right="0" w:firstLine="0"/>
              <w:jc w:val="left"/>
            </w:pPr>
            <w:r>
              <w:rPr/>
              <w:t xml:space="preserve"> </w:t>
            </w:r>
          </w:p>
          <w:p>
            <w:pPr>
              <w:spacing w:before="0" w:after="42" w:line="259" w:lineRule="auto"/>
              <w:ind w:left="108" w:right="0" w:firstLine="0"/>
              <w:jc w:val="left"/>
            </w:pPr>
            <w:r>
              <w:rPr/>
              <w:t xml:space="preserve">P = 3 </w:t>
            </w:r>
          </w:p>
          <w:p>
            <w:pPr>
              <w:spacing w:before="0" w:after="0" w:line="259" w:lineRule="auto"/>
              <w:ind w:left="108" w:right="0" w:firstLine="0"/>
              <w:jc w:val="left"/>
            </w:pPr>
            <w:r>
              <w:rPr/>
              <w:t xml:space="preserve">I =  4 </w:t>
            </w:r>
          </w:p>
        </w:tc>
        <w:tc>
          <w:tcPr>
            <w:tcW w:w="2850" w:type="dxa"/>
            <w:tcBorders>
              <w:top w:val="single" w:sz="4" w:color="000000"/>
              <w:left w:val="single" w:sz="4" w:color="000000"/>
              <w:bottom w:val="single" w:sz="4" w:color="000000"/>
              <w:right w:val="single" w:sz="4" w:color="000000"/>
            </w:tcBorders>
            <w:vAlign w:val="top"/>
          </w:tcPr>
          <w:p>
            <w:pPr>
              <w:numPr>
                <w:ilvl w:val="0"/>
                <w:numId w:val="22"/>
              </w:numPr>
              <w:spacing w:before="0" w:after="73" w:line="240" w:lineRule="auto"/>
              <w:ind w:left="360" w:right="114" w:hanging="252"/>
            </w:pPr>
            <w:r>
              <w:rPr/>
              <w:t xml:space="preserve">Cease hostilities through a constructive dialogue and negotiation </w:t>
            </w:r>
          </w:p>
          <w:p>
            <w:pPr>
              <w:numPr>
                <w:ilvl w:val="0"/>
                <w:numId w:val="22"/>
              </w:numPr>
              <w:spacing w:before="0" w:after="72" w:line="241" w:lineRule="auto"/>
              <w:ind w:left="360" w:right="114" w:hanging="252"/>
            </w:pPr>
            <w:r>
              <w:rPr/>
              <w:t xml:space="preserve">Enhance patrolling activities by UNAMID or local police </w:t>
            </w:r>
          </w:p>
          <w:p>
            <w:pPr>
              <w:numPr>
                <w:ilvl w:val="0"/>
                <w:numId w:val="22"/>
              </w:numPr>
              <w:spacing w:before="0" w:after="0" w:line="259" w:lineRule="auto"/>
              <w:ind w:left="360" w:right="114" w:hanging="252"/>
            </w:pPr>
            <w:r>
              <w:rPr/>
              <w:t xml:space="preserve">UNDP senior management may need to reconsider the staff ceiling in the region.   </w:t>
            </w:r>
          </w:p>
        </w:tc>
        <w:tc>
          <w:tcPr>
            <w:tcW w:w="112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GoNU, UNAMID </w:t>
            </w:r>
          </w:p>
        </w:tc>
        <w:tc>
          <w:tcPr>
            <w:tcW w:w="1400" w:type="dxa"/>
            <w:tcBorders>
              <w:top w:val="single" w:sz="4" w:color="000000"/>
              <w:left w:val="single" w:sz="4" w:color="000000"/>
              <w:bottom w:val="single" w:sz="4" w:color="000000"/>
              <w:right w:val="single" w:sz="4" w:color="000000"/>
            </w:tcBorders>
            <w:vAlign w:val="top"/>
          </w:tcPr>
          <w:p>
            <w:pPr>
              <w:spacing w:before="0" w:after="59" w:line="240" w:lineRule="auto"/>
              <w:ind w:left="107" w:right="0" w:firstLine="0"/>
              <w:jc w:val="left"/>
            </w:pPr>
            <w:r>
              <w:rPr/>
              <w:t xml:space="preserve">Tomokazu Serizawa, </w:t>
            </w:r>
          </w:p>
          <w:p>
            <w:pPr>
              <w:spacing w:before="0" w:after="0" w:line="259" w:lineRule="auto"/>
              <w:ind w:left="107" w:right="0" w:firstLine="0"/>
              <w:jc w:val="left"/>
            </w:pPr>
            <w:r>
              <w:rPr/>
              <w:t xml:space="preserve">UNDP </w:t>
            </w:r>
          </w:p>
        </w:tc>
        <w:tc>
          <w:tcPr>
            <w:tcW w:w="1260" w:type="dxa"/>
            <w:tcBorders>
              <w:top w:val="single" w:sz="4" w:color="000000"/>
              <w:left w:val="single" w:sz="4" w:color="000000"/>
              <w:bottom w:val="single" w:sz="4" w:color="000000"/>
              <w:right w:val="single" w:sz="4" w:color="000000"/>
            </w:tcBorders>
            <w:vAlign w:val="top"/>
          </w:tcPr>
          <w:p>
            <w:pPr>
              <w:tabs>
                <w:tab w:val="right" w:pos="1208"/>
              </w:tabs>
              <w:spacing w:before="0" w:after="0" w:line="259" w:lineRule="auto"/>
              <w:ind w:left="0" w:right="0" w:firstLine="0"/>
              <w:jc w:val="left"/>
            </w:pPr>
            <w:r>
              <w:rPr/>
              <w:t xml:space="preserve">2 	August </w:t>
            </w:r>
          </w:p>
          <w:p>
            <w:pPr>
              <w:spacing w:before="0" w:after="0" w:line="259" w:lineRule="auto"/>
              <w:ind w:left="108" w:right="0" w:firstLine="0"/>
              <w:jc w:val="left"/>
            </w:pPr>
            <w:r>
              <w:rPr/>
              <w:t xml:space="preserve">2009 </w:t>
            </w:r>
          </w:p>
        </w:tc>
        <w:tc>
          <w:tcPr>
            <w:tcW w:w="1620" w:type="dxa"/>
            <w:tcBorders>
              <w:top w:val="single" w:sz="4" w:color="000000"/>
              <w:left w:val="single" w:sz="4" w:color="000000"/>
              <w:bottom w:val="single" w:sz="4" w:color="000000"/>
              <w:right w:val="single" w:sz="4" w:color="000000"/>
            </w:tcBorders>
            <w:vAlign w:val="top"/>
          </w:tcPr>
          <w:p>
            <w:pPr>
              <w:spacing w:before="0" w:after="0" w:line="259" w:lineRule="auto"/>
              <w:ind w:left="108" w:right="0" w:firstLine="0"/>
              <w:jc w:val="left"/>
            </w:pPr>
            <w:r>
              <w:rPr/>
              <w:t xml:space="preserve">No change </w:t>
            </w:r>
          </w:p>
        </w:tc>
      </w:tr>
    </w:tbl>
    <w:p>
      <w:pPr>
        <w:sectPr>
          <w:footerReference w:type="even" r:id="rId15"/>
          <w:footerReference w:type="default" r:id="rId14"/>
          <w:footerReference w:type="first" r:id="rId13"/>
          <w:pgSz w:w="16840" w:h="11900" w:orient="landscape"/>
          <w:pgMar w:left="864" w:top="726" w:right="7893" w:bottom="488"/>
          <w:cols/>
        </w:sectPr>
      </w:pPr>
    </w:p>
    <w:p>
      <w:pPr>
        <w:spacing w:before="0" w:after="40" w:line="259" w:lineRule="auto"/>
        <w:ind w:left="0" w:right="0" w:firstLine="0"/>
        <w:jc w:val="left"/>
      </w:pPr>
      <w:r>
        <w:rPr>
          <w:rFonts w:cs="Arial" w:hAnsi="Arial" w:eastAsia="Arial" w:ascii="Arial"/>
          <w:b w:val="1"/>
          <w:sz w:val="22"/>
        </w:rPr>
        <w:t xml:space="preserve"> </w:t>
      </w:r>
    </w:p>
    <w:p>
      <w:pPr>
        <w:spacing w:before="0" w:after="23" w:line="259" w:lineRule="auto"/>
        <w:ind w:left="0" w:right="0" w:firstLine="0"/>
        <w:jc w:val="left"/>
      </w:pPr>
      <w:r>
        <w:rPr>
          <w:rFonts w:cs="Arial" w:hAnsi="Arial" w:eastAsia="Arial" w:ascii="Arial"/>
          <w:b w:val="1"/>
          <w:sz w:val="22"/>
        </w:rPr>
        <w:t xml:space="preserve"> </w:t>
      </w:r>
    </w:p>
    <w:p>
      <w:pPr>
        <w:spacing w:before="0" w:after="10" w:line="259" w:lineRule="auto"/>
        <w:ind w:left="2" w:right="0" w:firstLine="0"/>
        <w:jc w:val="center"/>
      </w:pPr>
      <w:r>
        <w:rPr>
          <w:rFonts w:cs="Arial" w:hAnsi="Arial" w:eastAsia="Arial" w:ascii="Arial"/>
          <w:b w:val="1"/>
          <w:sz w:val="18"/>
        </w:rPr>
        <w:t xml:space="preserve">Budget of establishing infrastructure and enabling environment for Darfur DDR project</w:t>
      </w:r>
    </w:p>
    <w:tbl>
      <w:tblPr>
        <w:tblStyle w:val="TableGrid"/>
        <w:tblW w:w="9582" w:type="dxa"/>
        <w:tblInd w:w="7" w:type="dxa"/>
        <w:tblCellMar>
          <w:top w:w="0" w:type="dxa"/>
          <w:left w:w="27" w:type="dxa"/>
          <w:bottom w:w="1" w:type="dxa"/>
          <w:right w:w="51" w:type="dxa"/>
        </w:tblCellMar>
      </w:tblPr>
      <w:tblGrid>
        <w:gridCol w:w="5680"/>
        <w:gridCol w:w="791"/>
        <w:gridCol w:w="862"/>
        <w:gridCol w:w="863"/>
        <w:gridCol w:w="1386"/>
      </w:tblGrid>
      <w:tr>
        <w:trPr>
          <w:trHeight w:val="443" w:hRule="atLeast"/>
        </w:trPr>
        <w:tc>
          <w:tcPr>
            <w:tcW w:w="5680" w:type="dxa"/>
            <w:tcBorders>
              <w:top w:val="single" w:sz="7" w:color="000000"/>
              <w:left w:val="single" w:sz="7" w:color="000000"/>
              <w:bottom w:val="single" w:sz="2" w:color="000000"/>
              <w:right w:val="single" w:sz="7" w:color="000000"/>
            </w:tcBorders>
            <w:shd w:val="clear" w:fill="ffcc00"/>
            <w:vAlign w:val="bottom"/>
          </w:tcPr>
          <w:p>
            <w:pPr>
              <w:spacing w:before="0" w:after="0" w:line="259" w:lineRule="auto"/>
              <w:ind w:left="2" w:right="0" w:firstLine="0"/>
              <w:jc w:val="left"/>
            </w:pPr>
            <w:r>
              <w:rPr>
                <w:rFonts w:cs="Arial" w:hAnsi="Arial" w:eastAsia="Arial" w:ascii="Arial"/>
                <w:b w:val="1"/>
                <w:sz w:val="18"/>
              </w:rPr>
              <w:t xml:space="preserve">Description</w:t>
            </w:r>
          </w:p>
        </w:tc>
        <w:tc>
          <w:tcPr>
            <w:tcW w:w="791" w:type="dxa"/>
            <w:tcBorders>
              <w:top w:val="single" w:sz="7" w:color="000000"/>
              <w:left w:val="single" w:sz="7" w:color="000000"/>
              <w:bottom w:val="single" w:sz="2" w:color="000000"/>
              <w:right w:val="single" w:sz="7" w:color="000000"/>
            </w:tcBorders>
            <w:shd w:val="clear" w:fill="ffcc00"/>
            <w:vAlign w:val="bottom"/>
          </w:tcPr>
          <w:p>
            <w:pPr>
              <w:spacing w:before="0" w:after="0" w:line="259" w:lineRule="auto"/>
              <w:ind w:left="37" w:right="0" w:firstLine="0"/>
              <w:jc w:val="center"/>
            </w:pPr>
            <w:r>
              <w:rPr>
                <w:rFonts w:cs="Arial" w:hAnsi="Arial" w:eastAsia="Arial" w:ascii="Arial"/>
                <w:b w:val="1"/>
                <w:sz w:val="18"/>
              </w:rPr>
              <w:t xml:space="preserve">No.</w:t>
            </w:r>
          </w:p>
        </w:tc>
        <w:tc>
          <w:tcPr>
            <w:tcW w:w="862" w:type="dxa"/>
            <w:tcBorders>
              <w:top w:val="single" w:sz="7" w:color="000000"/>
              <w:left w:val="single" w:sz="7" w:color="000000"/>
              <w:bottom w:val="single" w:sz="2" w:color="000000"/>
              <w:right w:val="single" w:sz="7" w:color="000000"/>
            </w:tcBorders>
            <w:shd w:val="clear" w:fill="ffcc00"/>
            <w:vAlign w:val="top"/>
          </w:tcPr>
          <w:p>
            <w:pPr>
              <w:spacing w:before="0" w:after="0" w:line="259" w:lineRule="auto"/>
              <w:ind w:left="215" w:right="0" w:hanging="126"/>
              <w:jc w:val="left"/>
            </w:pPr>
            <w:r>
              <w:rPr>
                <w:rFonts w:cs="Arial" w:hAnsi="Arial" w:eastAsia="Arial" w:ascii="Arial"/>
                <w:b w:val="1"/>
                <w:sz w:val="18"/>
              </w:rPr>
              <w:t xml:space="preserve">Monthly Rate</w:t>
            </w:r>
          </w:p>
        </w:tc>
        <w:tc>
          <w:tcPr>
            <w:tcW w:w="863" w:type="dxa"/>
            <w:tcBorders>
              <w:top w:val="single" w:sz="7" w:color="000000"/>
              <w:left w:val="single" w:sz="7" w:color="000000"/>
              <w:bottom w:val="single" w:sz="2" w:color="000000"/>
              <w:right w:val="single" w:sz="7" w:color="000000"/>
            </w:tcBorders>
            <w:shd w:val="clear" w:fill="ffcc00"/>
            <w:vAlign w:val="top"/>
          </w:tcPr>
          <w:p>
            <w:pPr>
              <w:spacing w:before="0" w:after="11" w:line="259" w:lineRule="auto"/>
              <w:ind w:left="49" w:right="0" w:firstLine="0"/>
              <w:jc w:val="center"/>
            </w:pPr>
            <w:r>
              <w:rPr>
                <w:rFonts w:cs="Arial" w:hAnsi="Arial" w:eastAsia="Arial" w:ascii="Arial"/>
                <w:b w:val="1"/>
                <w:sz w:val="18"/>
              </w:rPr>
              <w:t xml:space="preserve">No. of</w:t>
            </w:r>
          </w:p>
          <w:p>
            <w:pPr>
              <w:spacing w:before="0" w:after="0" w:line="259" w:lineRule="auto"/>
              <w:ind w:left="90" w:right="0" w:firstLine="0"/>
              <w:jc w:val="left"/>
            </w:pPr>
            <w:r>
              <w:rPr>
                <w:rFonts w:cs="Arial" w:hAnsi="Arial" w:eastAsia="Arial" w:ascii="Arial"/>
                <w:b w:val="1"/>
                <w:sz w:val="18"/>
              </w:rPr>
              <w:t xml:space="preserve">Months</w:t>
            </w:r>
          </w:p>
        </w:tc>
        <w:tc>
          <w:tcPr>
            <w:tcW w:w="1386" w:type="dxa"/>
            <w:tcBorders>
              <w:top w:val="single" w:sz="7" w:color="000000"/>
              <w:left w:val="single" w:sz="7" w:color="000000"/>
              <w:bottom w:val="single" w:sz="2" w:color="000000"/>
              <w:right w:val="single" w:sz="7" w:color="000000"/>
            </w:tcBorders>
            <w:shd w:val="clear" w:fill="ffcc00"/>
            <w:vAlign w:val="bottom"/>
          </w:tcPr>
          <w:p>
            <w:pPr>
              <w:spacing w:before="0" w:after="0" w:line="259" w:lineRule="auto"/>
              <w:ind w:left="0" w:right="0" w:firstLine="0"/>
              <w:jc w:val="left"/>
            </w:pPr>
            <w:r>
              <w:rPr>
                <w:rFonts w:cs="Arial" w:hAnsi="Arial" w:eastAsia="Arial" w:ascii="Arial"/>
                <w:b w:val="1"/>
                <w:sz w:val="18"/>
              </w:rPr>
              <w:t xml:space="preserve"> Total</w:t>
            </w:r>
          </w:p>
        </w:tc>
      </w:tr>
      <w:tr>
        <w:trPr>
          <w:trHeight w:val="225" w:hRule="atLeast"/>
        </w:trPr>
        <w:tc>
          <w:tcPr>
            <w:tcW w:w="5680" w:type="dxa"/>
            <w:tcBorders>
              <w:top w:val="single" w:sz="2"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ACTIVITY 1 Establishment of Institutional Structures</w:t>
            </w:r>
          </w:p>
        </w:tc>
        <w:tc>
          <w:tcPr>
            <w:tcW w:w="791" w:type="dxa"/>
            <w:tcBorders>
              <w:top w:val="single" w:sz="2"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2"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2"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2"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Office Equipment (copier, fax, scanner, UPS)</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30,000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Furniture</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30,000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Vehicle</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6</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40,000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240,000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Generator</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30,000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IT Equipment (computer, printer, accessories, software, internet)</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60,000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Communication Equipment (mobile, Thuraya, charges, radio, codan)</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2"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54,000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Operational Cost (fuel &amp; services for vehicle and generator)</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108,000</w:t>
            </w:r>
          </w:p>
        </w:tc>
      </w:tr>
      <w:tr>
        <w:trPr>
          <w:trHeight w:val="21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Office Supply (stationery)</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10,800</w:t>
            </w:r>
          </w:p>
        </w:tc>
      </w:tr>
      <w:tr>
        <w:trPr>
          <w:trHeight w:val="238" w:hRule="atLeast"/>
        </w:trPr>
        <w:tc>
          <w:tcPr>
            <w:tcW w:w="5680" w:type="dxa"/>
            <w:tcBorders>
              <w:top w:val="single" w:sz="7" w:color="000000"/>
              <w:left w:val="single" w:sz="7" w:color="000000"/>
              <w:bottom w:val="single" w:sz="7" w:color="000000"/>
              <w:right w:val="single" w:sz="7" w:color="000000"/>
            </w:tcBorders>
            <w:shd w:val="clear" w:fill="ccffff"/>
            <w:vAlign w:val="top"/>
          </w:tcPr>
          <w:p>
            <w:pPr>
              <w:spacing w:before="0" w:after="0" w:line="259" w:lineRule="auto"/>
              <w:ind w:left="2" w:right="0" w:firstLine="0"/>
              <w:jc w:val="left"/>
            </w:pPr>
            <w:r>
              <w:rPr>
                <w:rFonts w:cs="Arial" w:hAnsi="Arial" w:eastAsia="Arial" w:ascii="Arial"/>
                <w:b w:val="1"/>
                <w:sz w:val="18"/>
              </w:rPr>
              <w:t xml:space="preserve">ACTIVITY 1 Total</w:t>
            </w:r>
          </w:p>
        </w:tc>
        <w:tc>
          <w:tcPr>
            <w:tcW w:w="791" w:type="dxa"/>
            <w:tcBorders>
              <w:top w:val="single" w:sz="7" w:color="000000"/>
              <w:left w:val="single" w:sz="7" w:color="000000"/>
              <w:bottom w:val="single" w:sz="7" w:color="000000"/>
              <w:right w:val="single" w:sz="7" w:color="000000"/>
            </w:tcBorders>
            <w:shd w:val="clear" w:fill="ccffff"/>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shd w:val="clear" w:fill="ccffff"/>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shd w:val="clear" w:fill="ccffff"/>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shd w:val="clear" w:fill="ccffff"/>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562,800</w:t>
            </w:r>
          </w:p>
        </w:tc>
      </w:tr>
      <w:tr>
        <w:trPr>
          <w:trHeight w:val="213"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ACTIVITY 2 Capacity Building of National Stakeholders</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M&amp;E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4"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27,672</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Reintegration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27,672</w:t>
            </w:r>
          </w:p>
        </w:tc>
      </w:tr>
      <w:tr>
        <w:trPr>
          <w:trHeight w:val="225" w:hRule="atLeast"/>
        </w:trPr>
        <w:tc>
          <w:tcPr>
            <w:tcW w:w="5680" w:type="dxa"/>
            <w:tcBorders>
              <w:top w:val="single" w:sz="7" w:color="000000"/>
              <w:left w:val="single" w:sz="7" w:color="000000"/>
              <w:bottom w:val="single" w:sz="2" w:color="000000"/>
              <w:right w:val="single" w:sz="7" w:color="000000"/>
            </w:tcBorders>
            <w:vAlign w:val="top"/>
          </w:tcPr>
          <w:p>
            <w:pPr>
              <w:spacing w:before="0" w:after="0" w:line="259" w:lineRule="auto"/>
              <w:ind w:left="2" w:right="0" w:firstLine="0"/>
              <w:jc w:val="left"/>
            </w:pPr>
            <w:r>
              <w:rPr>
                <w:sz w:val="18"/>
              </w:rPr>
              <w:t xml:space="preserve">Community Security Officer (NOA)</w:t>
            </w:r>
          </w:p>
        </w:tc>
        <w:tc>
          <w:tcPr>
            <w:tcW w:w="791" w:type="dxa"/>
            <w:tcBorders>
              <w:top w:val="single" w:sz="7" w:color="000000"/>
              <w:left w:val="single" w:sz="7" w:color="000000"/>
              <w:bottom w:val="single" w:sz="2"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2"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7" w:color="000000"/>
              <w:left w:val="single" w:sz="7" w:color="000000"/>
              <w:bottom w:val="single" w:sz="2"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2"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27,672</w:t>
            </w:r>
          </w:p>
        </w:tc>
      </w:tr>
      <w:tr>
        <w:trPr>
          <w:trHeight w:val="225" w:hRule="atLeast"/>
        </w:trPr>
        <w:tc>
          <w:tcPr>
            <w:tcW w:w="5680" w:type="dxa"/>
            <w:tcBorders>
              <w:top w:val="single" w:sz="2"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Coordination Officer (NOA)</w:t>
            </w:r>
          </w:p>
        </w:tc>
        <w:tc>
          <w:tcPr>
            <w:tcW w:w="791" w:type="dxa"/>
            <w:tcBorders>
              <w:top w:val="single" w:sz="2"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2"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2"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2"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83,016</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State Office Coordinator (P3)</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16,000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288,000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State Office Coordinator (P3)</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16,000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384,000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DDR Analyst (P2)</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12,000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216,000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Training (trainee, accommodation, rent, stationery, material)</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1,500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54,000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SOP and Operational Manual (100 volumes for each, paper material)</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2"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1,000</w:t>
            </w:r>
          </w:p>
        </w:tc>
        <w:tc>
          <w:tcPr>
            <w:tcW w:w="863"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3,000</w:t>
            </w:r>
          </w:p>
        </w:tc>
      </w:tr>
      <w:tr>
        <w:trPr>
          <w:trHeight w:val="218"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Travel and DSA for Participants</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72,000</w:t>
            </w:r>
          </w:p>
        </w:tc>
      </w:tr>
      <w:tr>
        <w:trPr>
          <w:trHeight w:val="241" w:hRule="atLeast"/>
        </w:trPr>
        <w:tc>
          <w:tcPr>
            <w:tcW w:w="5680"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2" w:right="0" w:firstLine="0"/>
              <w:jc w:val="left"/>
            </w:pPr>
            <w:r>
              <w:rPr>
                <w:rFonts w:cs="Arial" w:hAnsi="Arial" w:eastAsia="Arial" w:ascii="Arial"/>
                <w:b w:val="1"/>
                <w:sz w:val="18"/>
              </w:rPr>
              <w:t xml:space="preserve">ACTIVITY 2 TOTAL</w:t>
            </w:r>
          </w:p>
        </w:tc>
        <w:tc>
          <w:tcPr>
            <w:tcW w:w="791" w:type="dxa"/>
            <w:tcBorders>
              <w:top w:val="single" w:sz="7" w:color="000000"/>
              <w:left w:val="single" w:sz="7" w:color="000000"/>
              <w:bottom w:val="single" w:sz="14" w:color="000000"/>
              <w:right w:val="single" w:sz="7" w:color="000000"/>
            </w:tcBorders>
            <w:shd w:val="clear" w:fill="ccffff"/>
            <w:vAlign w:val="center"/>
          </w:tcPr>
          <w:p>
            <w:pPr>
              <w:bidi w:val="0"/>
              <w:spacing w:before="0" w:after="160" w:line="259" w:lineRule="auto"/>
              <w:ind w:left="0" w:right="0" w:firstLine="0"/>
              <w:jc w:val="left"/>
            </w:pPr>
          </w:p>
        </w:tc>
        <w:tc>
          <w:tcPr>
            <w:tcW w:w="862" w:type="dxa"/>
            <w:tcBorders>
              <w:top w:val="single" w:sz="7" w:color="000000"/>
              <w:left w:val="single" w:sz="7" w:color="000000"/>
              <w:bottom w:val="single" w:sz="14" w:color="000000"/>
              <w:right w:val="single" w:sz="7" w:color="000000"/>
            </w:tcBorders>
            <w:shd w:val="clear" w:fill="ccffff"/>
            <w:vAlign w:val="center"/>
          </w:tcPr>
          <w:p>
            <w:pPr>
              <w:bidi w:val="0"/>
              <w:spacing w:before="0" w:after="160" w:line="259" w:lineRule="auto"/>
              <w:ind w:left="0" w:right="0" w:firstLine="0"/>
              <w:jc w:val="left"/>
            </w:pPr>
          </w:p>
        </w:tc>
        <w:tc>
          <w:tcPr>
            <w:tcW w:w="863" w:type="dxa"/>
            <w:tcBorders>
              <w:top w:val="single" w:sz="7" w:color="000000"/>
              <w:left w:val="single" w:sz="7" w:color="000000"/>
              <w:bottom w:val="single" w:sz="14" w:color="000000"/>
              <w:right w:val="single" w:sz="7" w:color="000000"/>
            </w:tcBorders>
            <w:shd w:val="clear" w:fill="ccffff"/>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1,183,032</w:t>
            </w:r>
          </w:p>
        </w:tc>
      </w:tr>
      <w:tr>
        <w:trPr>
          <w:trHeight w:val="225" w:hRule="atLeast"/>
        </w:trPr>
        <w:tc>
          <w:tcPr>
            <w:tcW w:w="5680" w:type="dxa"/>
            <w:tcBorders>
              <w:top w:val="single" w:sz="14"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ACTIVITY 3 Sensitisation</w:t>
            </w:r>
          </w:p>
        </w:tc>
        <w:tc>
          <w:tcPr>
            <w:tcW w:w="791" w:type="dxa"/>
            <w:tcBorders>
              <w:top w:val="single" w:sz="14"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862" w:type="dxa"/>
            <w:tcBorders>
              <w:top w:val="single" w:sz="14"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863" w:type="dxa"/>
            <w:tcBorders>
              <w:top w:val="single" w:sz="14"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14"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Outreach Strategy Development</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15,000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15,000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Meeting in El Fasher (Regional Level) x 2</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2" w:right="0" w:firstLine="0"/>
              <w:jc w:val="center"/>
            </w:pPr>
            <w:r>
              <w:rPr>
                <w:sz w:val="18"/>
              </w:rPr>
              <w:t xml:space="preserve">6</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5,000</w:t>
            </w:r>
          </w:p>
        </w:tc>
        <w:tc>
          <w:tcPr>
            <w:tcW w:w="863"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30,000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State Meeting with Leaders x 12</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2,000</w:t>
            </w:r>
          </w:p>
        </w:tc>
        <w:tc>
          <w:tcPr>
            <w:tcW w:w="863"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24,000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Meeting at Community Level X20</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20</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1,000</w:t>
            </w:r>
          </w:p>
        </w:tc>
        <w:tc>
          <w:tcPr>
            <w:tcW w:w="863"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20,000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Radio Programme</w:t>
            </w:r>
          </w:p>
        </w:tc>
        <w:tc>
          <w:tcPr>
            <w:tcW w:w="791"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center"/>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25,000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Travel and DSA for Participants</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5,000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5"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180,000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Public Information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5"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41,508</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Translator (NPA)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1,600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5"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28,800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Translator (NPA)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1,600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5"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38,400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Public Information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0"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5"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55,344</w:t>
            </w:r>
          </w:p>
        </w:tc>
      </w:tr>
      <w:tr>
        <w:trPr>
          <w:trHeight w:val="232"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Leaflet/Material/other</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51,000</w:t>
            </w:r>
          </w:p>
        </w:tc>
      </w:tr>
      <w:tr>
        <w:trPr>
          <w:trHeight w:val="232" w:hRule="atLeast"/>
        </w:trPr>
        <w:tc>
          <w:tcPr>
            <w:tcW w:w="5680"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2" w:right="0" w:firstLine="0"/>
              <w:jc w:val="left"/>
            </w:pPr>
            <w:r>
              <w:rPr>
                <w:rFonts w:cs="Arial" w:hAnsi="Arial" w:eastAsia="Arial" w:ascii="Arial"/>
                <w:b w:val="1"/>
                <w:sz w:val="18"/>
              </w:rPr>
              <w:t xml:space="preserve">ACTIVITY 3 Total </w:t>
            </w:r>
          </w:p>
        </w:tc>
        <w:tc>
          <w:tcPr>
            <w:tcW w:w="791"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509,052</w:t>
            </w:r>
          </w:p>
        </w:tc>
      </w:tr>
      <w:tr>
        <w:trPr>
          <w:trHeight w:val="220" w:hRule="atLeast"/>
        </w:trPr>
        <w:tc>
          <w:tcPr>
            <w:tcW w:w="5680" w:type="dxa"/>
            <w:tcBorders>
              <w:top w:val="single" w:sz="14"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ACTIVITY 4 Programming</w:t>
            </w:r>
          </w:p>
        </w:tc>
        <w:tc>
          <w:tcPr>
            <w:tcW w:w="791"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Finance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41,508</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Finance Officer (NOA)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2,306</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55,344</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Planning Officer (NOB)</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3,534</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63,612</w:t>
            </w:r>
          </w:p>
        </w:tc>
      </w:tr>
      <w:tr>
        <w:trPr>
          <w:trHeight w:val="233"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Finance and Administration Associate Officer (NPA)</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1,600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57,600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Audit</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15,000</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Evaluation</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15,000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Travel and DSA for Staff</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1,800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97,200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Project Coordinator </w:t>
            </w:r>
            <w:r>
              <w:rPr>
                <w:sz w:val="18"/>
              </w:rPr>
              <w:t xml:space="preserve">(</w:t>
            </w:r>
            <w:r>
              <w:rPr>
                <w:sz w:val="18"/>
              </w:rPr>
              <w:t xml:space="preserve">P</w:t>
            </w:r>
            <w:r>
              <w:rPr>
                <w:sz w:val="18"/>
              </w:rPr>
              <w:t xml:space="preserve">4</w:t>
            </w:r>
            <w:r>
              <w:rPr>
                <w:sz w:val="18"/>
              </w:rPr>
              <w:t xml:space="preserve">)</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107" w:right="0" w:firstLine="0"/>
              <w:jc w:val="left"/>
            </w:pPr>
            <w:r>
              <w:rPr>
                <w:sz w:val="18"/>
              </w:rPr>
              <w:t xml:space="preserve"> </w:t>
            </w:r>
            <w:r>
              <w:rPr>
                <w:sz w:val="18"/>
              </w:rPr>
              <w:t xml:space="preserve">19,764</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w:t>
            </w:r>
            <w:r>
              <w:rPr>
                <w:sz w:val="18"/>
              </w:rPr>
              <w:t xml:space="preserve">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355,752</w:t>
            </w:r>
          </w:p>
        </w:tc>
      </w:tr>
      <w:tr>
        <w:trPr>
          <w:trHeight w:val="234"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Driver</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1</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800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18</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14,400</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Driver</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2</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800</w:t>
            </w:r>
          </w:p>
        </w:tc>
        <w:tc>
          <w:tcPr>
            <w:tcW w:w="863" w:type="dxa"/>
            <w:tcBorders>
              <w:top w:val="single" w:sz="7" w:color="000000"/>
              <w:left w:val="single" w:sz="7" w:color="000000"/>
              <w:bottom w:val="single" w:sz="7" w:color="000000"/>
              <w:right w:val="single" w:sz="7" w:color="000000"/>
            </w:tcBorders>
            <w:vAlign w:val="top"/>
          </w:tcPr>
          <w:p>
            <w:pPr>
              <w:spacing w:before="0" w:after="0" w:line="259" w:lineRule="auto"/>
              <w:ind w:left="36" w:right="0" w:firstLine="0"/>
              <w:jc w:val="center"/>
            </w:pPr>
            <w:r>
              <w:rPr>
                <w:sz w:val="18"/>
              </w:rPr>
              <w:t xml:space="preserve">12</w:t>
            </w: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19,200</w:t>
            </w:r>
          </w:p>
        </w:tc>
      </w:tr>
      <w:tr>
        <w:trPr>
          <w:trHeight w:val="218"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sz w:val="18"/>
              </w:rPr>
              <w:t xml:space="preserve">Conduct baseline survey/subcontracting</w:t>
            </w:r>
          </w:p>
        </w:tc>
        <w:tc>
          <w:tcPr>
            <w:tcW w:w="791" w:type="dxa"/>
            <w:tcBorders>
              <w:top w:val="single" w:sz="7" w:color="000000"/>
              <w:left w:val="single" w:sz="7" w:color="000000"/>
              <w:bottom w:val="single" w:sz="7" w:color="000000"/>
              <w:right w:val="single" w:sz="7" w:color="000000"/>
            </w:tcBorders>
            <w:vAlign w:val="top"/>
          </w:tcPr>
          <w:p>
            <w:pPr>
              <w:spacing w:before="0" w:after="0" w:line="259" w:lineRule="auto"/>
              <w:ind w:left="33" w:right="0" w:firstLine="0"/>
              <w:jc w:val="center"/>
            </w:pPr>
            <w:r>
              <w:rPr>
                <w:sz w:val="18"/>
              </w:rPr>
              <w:t xml:space="preserve">3</w:t>
            </w:r>
          </w:p>
        </w:tc>
        <w:tc>
          <w:tcPr>
            <w:tcW w:w="862" w:type="dxa"/>
            <w:tcBorders>
              <w:top w:val="single" w:sz="7" w:color="000000"/>
              <w:left w:val="single" w:sz="7" w:color="000000"/>
              <w:bottom w:val="single" w:sz="7" w:color="000000"/>
              <w:right w:val="single" w:sz="7" w:color="000000"/>
            </w:tcBorders>
            <w:vAlign w:val="top"/>
          </w:tcPr>
          <w:p>
            <w:pPr>
              <w:spacing w:before="0" w:after="0" w:line="259" w:lineRule="auto"/>
              <w:ind w:left="71" w:right="0" w:firstLine="0"/>
              <w:jc w:val="left"/>
            </w:pPr>
            <w:r>
              <w:rPr>
                <w:sz w:val="18"/>
              </w:rPr>
              <w:t xml:space="preserve">   60,000</w:t>
            </w: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sz w:val="18"/>
              </w:rPr>
              <w:t xml:space="preserve">            </w:t>
            </w:r>
            <w:r>
              <w:rPr>
                <w:sz w:val="18"/>
              </w:rPr>
              <w:t xml:space="preserve">180,000</w:t>
            </w:r>
          </w:p>
        </w:tc>
      </w:tr>
      <w:tr>
        <w:trPr>
          <w:trHeight w:val="241" w:hRule="atLeast"/>
        </w:trPr>
        <w:tc>
          <w:tcPr>
            <w:tcW w:w="5680"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2" w:right="0" w:firstLine="0"/>
              <w:jc w:val="left"/>
            </w:pPr>
            <w:r>
              <w:rPr>
                <w:rFonts w:cs="Arial" w:hAnsi="Arial" w:eastAsia="Arial" w:ascii="Arial"/>
                <w:b w:val="1"/>
                <w:sz w:val="18"/>
              </w:rPr>
              <w:t xml:space="preserve">ACTIVITY 4 Total </w:t>
            </w:r>
          </w:p>
        </w:tc>
        <w:tc>
          <w:tcPr>
            <w:tcW w:w="791"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14" w:color="000000"/>
              <w:right w:val="single" w:sz="7" w:color="000000"/>
            </w:tcBorders>
            <w:shd w:val="clear" w:fill="ccffff"/>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14" w:color="000000"/>
              <w:right w:val="single" w:sz="7" w:color="000000"/>
            </w:tcBorders>
            <w:shd w:val="clear" w:fill="ccffff"/>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914,616</w:t>
            </w:r>
          </w:p>
        </w:tc>
      </w:tr>
      <w:tr>
        <w:trPr>
          <w:trHeight w:val="234" w:hRule="atLeast"/>
        </w:trPr>
        <w:tc>
          <w:tcPr>
            <w:tcW w:w="5680" w:type="dxa"/>
            <w:tcBorders>
              <w:top w:val="single" w:sz="14" w:color="000000"/>
              <w:left w:val="single" w:sz="7" w:color="000000"/>
              <w:bottom w:val="single" w:sz="14" w:color="000000"/>
              <w:right w:val="single" w:sz="7" w:color="000000"/>
            </w:tcBorders>
            <w:shd w:val="clear" w:fill="7f0000"/>
            <w:vAlign w:val="top"/>
          </w:tcPr>
          <w:p>
            <w:pPr>
              <w:spacing w:before="0" w:after="0" w:line="259" w:lineRule="auto"/>
              <w:ind w:left="2" w:right="0" w:firstLine="0"/>
              <w:jc w:val="left"/>
            </w:pPr>
            <w:r>
              <w:rPr>
                <w:rFonts w:cs="Arial" w:hAnsi="Arial" w:eastAsia="Arial" w:ascii="Arial"/>
                <w:b w:val="1"/>
                <w:color w:val="ffffff"/>
                <w:sz w:val="18"/>
              </w:rPr>
              <w:t xml:space="preserve">Sub Total Programme Cost</w:t>
            </w:r>
          </w:p>
        </w:tc>
        <w:tc>
          <w:tcPr>
            <w:tcW w:w="791" w:type="dxa"/>
            <w:tcBorders>
              <w:top w:val="single" w:sz="14" w:color="000000"/>
              <w:left w:val="single" w:sz="7" w:color="000000"/>
              <w:bottom w:val="single" w:sz="14" w:color="000000"/>
              <w:right w:val="single" w:sz="7" w:color="000000"/>
            </w:tcBorders>
            <w:shd w:val="clear" w:fill="7f0000"/>
            <w:vAlign w:val="top"/>
          </w:tcPr>
          <w:p>
            <w:pPr>
              <w:bidi w:val="0"/>
              <w:spacing w:before="0" w:after="160" w:line="259" w:lineRule="auto"/>
              <w:ind w:left="0" w:right="0" w:firstLine="0"/>
              <w:jc w:val="left"/>
            </w:pPr>
          </w:p>
        </w:tc>
        <w:tc>
          <w:tcPr>
            <w:tcW w:w="862" w:type="dxa"/>
            <w:tcBorders>
              <w:top w:val="single" w:sz="14" w:color="000000"/>
              <w:left w:val="single" w:sz="7" w:color="000000"/>
              <w:bottom w:val="single" w:sz="14" w:color="000000"/>
              <w:right w:val="single" w:sz="7" w:color="000000"/>
            </w:tcBorders>
            <w:shd w:val="clear" w:fill="7f0000"/>
            <w:vAlign w:val="top"/>
          </w:tcPr>
          <w:p>
            <w:pPr>
              <w:bidi w:val="0"/>
              <w:spacing w:before="0" w:after="160" w:line="259" w:lineRule="auto"/>
              <w:ind w:left="0" w:right="0" w:firstLine="0"/>
              <w:jc w:val="left"/>
            </w:pPr>
          </w:p>
        </w:tc>
        <w:tc>
          <w:tcPr>
            <w:tcW w:w="863" w:type="dxa"/>
            <w:tcBorders>
              <w:top w:val="single" w:sz="14" w:color="000000"/>
              <w:left w:val="single" w:sz="7" w:color="000000"/>
              <w:bottom w:val="single" w:sz="14" w:color="000000"/>
              <w:right w:val="single" w:sz="7" w:color="000000"/>
            </w:tcBorders>
            <w:shd w:val="clear" w:fill="7f0000"/>
            <w:vAlign w:val="top"/>
          </w:tcPr>
          <w:p>
            <w:pPr>
              <w:bidi w:val="0"/>
              <w:spacing w:before="0" w:after="160" w:line="259" w:lineRule="auto"/>
              <w:ind w:left="0" w:right="0" w:firstLine="0"/>
              <w:jc w:val="left"/>
            </w:pPr>
          </w:p>
        </w:tc>
        <w:tc>
          <w:tcPr>
            <w:tcW w:w="1386" w:type="dxa"/>
            <w:tcBorders>
              <w:top w:val="single" w:sz="14" w:color="000000"/>
              <w:left w:val="single" w:sz="7" w:color="000000"/>
              <w:bottom w:val="single" w:sz="14" w:color="000000"/>
              <w:right w:val="single" w:sz="7" w:color="000000"/>
            </w:tcBorders>
            <w:shd w:val="clear" w:fill="7f0000"/>
            <w:vAlign w:val="top"/>
          </w:tcPr>
          <w:p>
            <w:pPr>
              <w:spacing w:before="0" w:after="0" w:line="259" w:lineRule="auto"/>
              <w:ind w:left="54" w:right="0" w:firstLine="0"/>
              <w:jc w:val="left"/>
            </w:pPr>
            <w:r>
              <w:rPr>
                <w:rFonts w:cs="Arial" w:hAnsi="Arial" w:eastAsia="Arial" w:ascii="Arial"/>
                <w:b w:val="1"/>
                <w:color w:val="ffffff"/>
                <w:sz w:val="18"/>
              </w:rPr>
              <w:t xml:space="preserve">        </w:t>
            </w:r>
            <w:r>
              <w:rPr>
                <w:rFonts w:cs="Arial" w:hAnsi="Arial" w:eastAsia="Arial" w:ascii="Arial"/>
                <w:b w:val="1"/>
                <w:color w:val="ffffff"/>
                <w:sz w:val="18"/>
              </w:rPr>
              <w:t xml:space="preserve">3,169,500</w:t>
            </w:r>
          </w:p>
        </w:tc>
      </w:tr>
      <w:tr>
        <w:trPr>
          <w:trHeight w:val="225" w:hRule="atLeast"/>
        </w:trPr>
        <w:tc>
          <w:tcPr>
            <w:tcW w:w="5680" w:type="dxa"/>
            <w:tcBorders>
              <w:top w:val="single" w:sz="14"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UNDP GMS (7%)</w:t>
            </w:r>
          </w:p>
        </w:tc>
        <w:tc>
          <w:tcPr>
            <w:tcW w:w="791"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14"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14" w:color="000000"/>
              <w:left w:val="single" w:sz="7" w:color="000000"/>
              <w:bottom w:val="single" w:sz="7" w:color="000000"/>
              <w:right w:val="single" w:sz="7" w:color="000000"/>
            </w:tcBorders>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165,865</w:t>
            </w:r>
          </w:p>
        </w:tc>
      </w:tr>
      <w:tr>
        <w:trPr>
          <w:trHeight w:val="216"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UNDP GMS </w:t>
            </w:r>
            <w:r>
              <w:rPr>
                <w:rFonts w:cs="Arial" w:hAnsi="Arial" w:eastAsia="Arial" w:ascii="Arial"/>
                <w:b w:val="1"/>
                <w:sz w:val="18"/>
              </w:rPr>
              <w:t xml:space="preserve">(</w:t>
            </w:r>
            <w:r>
              <w:rPr>
                <w:rFonts w:cs="Arial" w:hAnsi="Arial" w:eastAsia="Arial" w:ascii="Arial"/>
                <w:b w:val="1"/>
                <w:sz w:val="18"/>
              </w:rPr>
              <w:t xml:space="preserve">3%</w:t>
            </w:r>
            <w:r>
              <w:rPr>
                <w:rFonts w:cs="Arial" w:hAnsi="Arial" w:eastAsia="Arial" w:ascii="Arial"/>
                <w:b w:val="1"/>
                <w:sz w:val="18"/>
              </w:rPr>
              <w:t xml:space="preserve">)*</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6,000</w:t>
            </w:r>
          </w:p>
        </w:tc>
      </w:tr>
      <w:tr>
        <w:trPr>
          <w:trHeight w:val="232" w:hRule="atLeast"/>
        </w:trPr>
        <w:tc>
          <w:tcPr>
            <w:tcW w:w="5680" w:type="dxa"/>
            <w:tcBorders>
              <w:top w:val="single" w:sz="7" w:color="000000"/>
              <w:left w:val="single" w:sz="7" w:color="000000"/>
              <w:bottom w:val="single" w:sz="7" w:color="000000"/>
              <w:right w:val="single" w:sz="7" w:color="000000"/>
            </w:tcBorders>
            <w:vAlign w:val="top"/>
          </w:tcPr>
          <w:p>
            <w:pPr>
              <w:spacing w:before="0" w:after="0" w:line="259" w:lineRule="auto"/>
              <w:ind w:left="2" w:right="0" w:firstLine="0"/>
              <w:jc w:val="left"/>
            </w:pPr>
            <w:r>
              <w:rPr>
                <w:rFonts w:cs="Arial" w:hAnsi="Arial" w:eastAsia="Arial" w:ascii="Arial"/>
                <w:b w:val="1"/>
                <w:sz w:val="18"/>
              </w:rPr>
              <w:t xml:space="preserve">Contingency expenditure (3%)</w:t>
            </w:r>
          </w:p>
        </w:tc>
        <w:tc>
          <w:tcPr>
            <w:tcW w:w="791"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7" w:color="000000"/>
              <w:right w:val="single" w:sz="7" w:color="000000"/>
            </w:tcBorders>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7" w:color="000000"/>
              <w:right w:val="single" w:sz="7" w:color="000000"/>
            </w:tcBorders>
            <w:vAlign w:val="top"/>
          </w:tcPr>
          <w:p>
            <w:pPr>
              <w:spacing w:before="0" w:after="0" w:line="259" w:lineRule="auto"/>
              <w:ind w:left="54" w:right="0" w:firstLine="0"/>
              <w:jc w:val="left"/>
            </w:pPr>
            <w:r>
              <w:rPr>
                <w:rFonts w:cs="Arial" w:hAnsi="Arial" w:eastAsia="Arial" w:ascii="Arial"/>
                <w:b w:val="1"/>
                <w:sz w:val="18"/>
              </w:rPr>
              <w:t xml:space="preserve">              </w:t>
            </w:r>
            <w:r>
              <w:rPr>
                <w:rFonts w:cs="Arial" w:hAnsi="Arial" w:eastAsia="Arial" w:ascii="Arial"/>
                <w:b w:val="1"/>
                <w:sz w:val="18"/>
              </w:rPr>
              <w:t xml:space="preserve">95,085</w:t>
            </w:r>
          </w:p>
        </w:tc>
      </w:tr>
      <w:tr>
        <w:trPr>
          <w:trHeight w:val="227" w:hRule="atLeast"/>
        </w:trPr>
        <w:tc>
          <w:tcPr>
            <w:tcW w:w="5680" w:type="dxa"/>
            <w:tcBorders>
              <w:top w:val="single" w:sz="7" w:color="000000"/>
              <w:left w:val="single" w:sz="7" w:color="000000"/>
              <w:bottom w:val="single" w:sz="14" w:color="000000"/>
              <w:right w:val="single" w:sz="7" w:color="000000"/>
            </w:tcBorders>
            <w:shd w:val="clear" w:fill="0000ff"/>
            <w:vAlign w:val="top"/>
          </w:tcPr>
          <w:p>
            <w:pPr>
              <w:spacing w:before="0" w:after="0" w:line="259" w:lineRule="auto"/>
              <w:ind w:left="2" w:right="0" w:firstLine="0"/>
              <w:jc w:val="left"/>
            </w:pPr>
            <w:r>
              <w:rPr>
                <w:rFonts w:cs="Arial" w:hAnsi="Arial" w:eastAsia="Arial" w:ascii="Arial"/>
                <w:b w:val="1"/>
                <w:color w:val="ffffff"/>
                <w:sz w:val="18"/>
              </w:rPr>
              <w:t xml:space="preserve">Grand Total</w:t>
            </w:r>
          </w:p>
        </w:tc>
        <w:tc>
          <w:tcPr>
            <w:tcW w:w="791" w:type="dxa"/>
            <w:tcBorders>
              <w:top w:val="single" w:sz="7" w:color="000000"/>
              <w:left w:val="single" w:sz="7" w:color="000000"/>
              <w:bottom w:val="single" w:sz="14" w:color="000000"/>
              <w:right w:val="single" w:sz="7" w:color="000000"/>
            </w:tcBorders>
            <w:shd w:val="clear" w:fill="0000ff"/>
            <w:vAlign w:val="top"/>
          </w:tcPr>
          <w:p>
            <w:pPr>
              <w:bidi w:val="0"/>
              <w:spacing w:before="0" w:after="160" w:line="259" w:lineRule="auto"/>
              <w:ind w:left="0" w:right="0" w:firstLine="0"/>
              <w:jc w:val="left"/>
            </w:pPr>
          </w:p>
        </w:tc>
        <w:tc>
          <w:tcPr>
            <w:tcW w:w="862" w:type="dxa"/>
            <w:tcBorders>
              <w:top w:val="single" w:sz="7" w:color="000000"/>
              <w:left w:val="single" w:sz="7" w:color="000000"/>
              <w:bottom w:val="single" w:sz="14" w:color="000000"/>
              <w:right w:val="single" w:sz="7" w:color="000000"/>
            </w:tcBorders>
            <w:shd w:val="clear" w:fill="0000ff"/>
            <w:vAlign w:val="top"/>
          </w:tcPr>
          <w:p>
            <w:pPr>
              <w:bidi w:val="0"/>
              <w:spacing w:before="0" w:after="160" w:line="259" w:lineRule="auto"/>
              <w:ind w:left="0" w:right="0" w:firstLine="0"/>
              <w:jc w:val="left"/>
            </w:pPr>
          </w:p>
        </w:tc>
        <w:tc>
          <w:tcPr>
            <w:tcW w:w="863" w:type="dxa"/>
            <w:tcBorders>
              <w:top w:val="single" w:sz="7" w:color="000000"/>
              <w:left w:val="single" w:sz="7" w:color="000000"/>
              <w:bottom w:val="single" w:sz="14" w:color="000000"/>
              <w:right w:val="single" w:sz="7" w:color="000000"/>
            </w:tcBorders>
            <w:shd w:val="clear" w:fill="0000ff"/>
            <w:vAlign w:val="top"/>
          </w:tcPr>
          <w:p>
            <w:pPr>
              <w:bidi w:val="0"/>
              <w:spacing w:before="0" w:after="160" w:line="259" w:lineRule="auto"/>
              <w:ind w:left="0" w:right="0" w:firstLine="0"/>
              <w:jc w:val="left"/>
            </w:pPr>
          </w:p>
        </w:tc>
        <w:tc>
          <w:tcPr>
            <w:tcW w:w="1386" w:type="dxa"/>
            <w:tcBorders>
              <w:top w:val="single" w:sz="7" w:color="000000"/>
              <w:left w:val="single" w:sz="7" w:color="000000"/>
              <w:bottom w:val="single" w:sz="14" w:color="000000"/>
              <w:right w:val="single" w:sz="7" w:color="000000"/>
            </w:tcBorders>
            <w:shd w:val="clear" w:fill="0000ff"/>
            <w:vAlign w:val="top"/>
          </w:tcPr>
          <w:p>
            <w:pPr>
              <w:spacing w:before="0" w:after="0" w:line="259" w:lineRule="auto"/>
              <w:ind w:left="54" w:right="0" w:firstLine="0"/>
              <w:jc w:val="left"/>
            </w:pPr>
            <w:r>
              <w:rPr>
                <w:rFonts w:cs="Arial" w:hAnsi="Arial" w:eastAsia="Arial" w:ascii="Arial"/>
                <w:b w:val="1"/>
                <w:color w:val="ffffff"/>
                <w:sz w:val="18"/>
              </w:rPr>
              <w:t xml:space="preserve">        </w:t>
            </w:r>
            <w:r>
              <w:rPr>
                <w:rFonts w:cs="Arial" w:hAnsi="Arial" w:eastAsia="Arial" w:ascii="Arial"/>
                <w:b w:val="1"/>
                <w:color w:val="ffffff"/>
                <w:sz w:val="18"/>
              </w:rPr>
              <w:t xml:space="preserve">3,436,450</w:t>
            </w:r>
          </w:p>
        </w:tc>
      </w:tr>
    </w:tbl>
    <w:p>
      <w:pPr>
        <w:tabs>
          <w:tab w:val="center" w:pos="9595"/>
        </w:tabs>
        <w:spacing w:before="0" w:after="0" w:line="259" w:lineRule="auto"/>
        <w:ind w:left="-15" w:right="0" w:firstLine="0"/>
        <w:jc w:val="left"/>
      </w:pPr>
      <w:r>
        <w:rPr>
          <w:sz w:val="18"/>
        </w:rPr>
        <w:t xml:space="preserve">* from the government contribution (200,000 USD)	</w:t>
      </w:r>
      <w:r>
        <w:rPr>
          <w:sz w:val="22"/>
        </w:rPr>
        <w:t xml:space="preserve"> </w:t>
      </w:r>
    </w:p>
    <w:p>
      <w:pPr>
        <w:spacing w:before="0" w:after="1315" w:line="259" w:lineRule="auto"/>
        <w:ind w:left="-30" w:right="-32" w:firstLine="0"/>
        <w:jc w:val="left"/>
      </w:pPr>
      <w:r>
        <w:rPr>
          <w:rFonts w:cs="Calibri" w:hAnsi="Calibri" w:eastAsia="Calibri" w:ascii="Calibri"/>
          <w:sz w:val="22"/>
        </w:rPr>
        <w:drawing>
          <wp:inline distT="0" distB="0" distL="0" distR="0">
            <wp:extent cx="6134862" cy="6096"/>
            <wp:docPr id="59705" name="Group 59705"/>
            <wp:cNvGraphicFramePr/>
            <a:graphic>
              <a:graphicData uri="http://schemas.microsoft.com/office/word/2010/wordprocessingGroup">
                <wpg:wgp>
                  <wpg:cNvGrpSpPr/>
                  <wpg:grpSpPr>
                    <a:xfrm>
                      <a:off x="0" y="0"/>
                      <a:ext cx="6134862" cy="6096"/>
                      <a:chOff x="0" y="0"/>
                      <a:chExt cx="6134862" cy="6096"/>
                    </a:xfrm>
                  </wpg:grpSpPr>
                  <wps:wsp>
                    <wps:cNvPr id="62713" name="Shape 62713"/>
                    <wps:cNvSpPr/>
                    <wps:spPr>
                      <a:xfrm>
                        <a:off x="0" y="0"/>
                        <a:ext cx="6134862" cy="9144"/>
                      </a:xfrm>
                      <a:custGeom>
                        <a:pathLst>
                          <a:path w="6134862" h="9144">
                            <a:moveTo>
                              <a:pt x="0" y="0"/>
                            </a:moveTo>
                            <a:lnTo>
                              <a:pt x="6134862" y="0"/>
                            </a:lnTo>
                            <a:lnTo>
                              <a:pt x="6134862"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tabs>
          <w:tab w:val="right" w:pos="9600"/>
        </w:tabs>
        <w:spacing w:before="0" w:after="0" w:line="259" w:lineRule="auto"/>
        <w:ind w:left="0" w:right="0" w:firstLine="0"/>
        <w:jc w:val="left"/>
      </w:pPr>
      <w:r>
        <w:rPr>
          <w:sz w:val="22"/>
        </w:rPr>
        <w:t xml:space="preserve"> 	</w:t>
      </w:r>
      <w:r>
        <w:rPr>
          <w:sz w:val="22"/>
        </w:rPr>
        <w:t xml:space="preserve">29</w:t>
      </w:r>
    </w:p>
    <w:sectPr>
      <w:footerReference w:type="even" r:id="rId18"/>
      <w:footerReference w:type="default" r:id="rId17"/>
      <w:footerReference w:type="first" r:id="rId16"/>
      <w:pgSz w:w="11900" w:h="16840" w:orient="portrait"/>
      <w:pgMar w:left="1152" w:top="1440" w:right="1148" w:bottom="1440"/>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80"/>
        <w:tab w:val="right" w:pos="9838"/>
      </w:tabs>
      <w:spacing w:before="0" w:after="0" w:line="259" w:lineRule="auto"/>
      <w:ind w:left="0" w:right="0" w:firstLine="0"/>
      <w:jc w:val="left"/>
    </w:pPr>
    <w:r>
      <w:rPr>
        <w:rFonts w:cs="Calibri" w:hAnsi="Calibri" w:eastAsia="Calibri" w:ascii="Calibri"/>
        <w:sz w:val="22"/>
      </w:rPr>
      <w:t xml:space="preserve">	</w:t>
    </w:r>
    <w:r>
      <w:rPr>
        <w:sz w:val="22"/>
      </w:rPr>
      <w:t xml:space="preserve"> 	</w:t>
    </w:r>
    <w:fldSimple w:instr=" PAGE   \* MERGEFORMAT ">
      <w:r>
        <w:rPr>
          <w:sz w:val="22"/>
        </w:rPr>
        <w:t xml:space="preserve">2</w:t>
      </w:r>
    </w:fldSimple>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80"/>
        <w:tab w:val="right" w:pos="9838"/>
      </w:tabs>
      <w:spacing w:before="0" w:after="0" w:line="259" w:lineRule="auto"/>
      <w:ind w:left="0" w:right="0" w:firstLine="0"/>
      <w:jc w:val="left"/>
    </w:pPr>
    <w:r>
      <w:rPr>
        <w:rFonts w:cs="Calibri" w:hAnsi="Calibri" w:eastAsia="Calibri" w:ascii="Calibri"/>
        <w:sz w:val="22"/>
      </w:rPr>
      <w:t xml:space="preserve">	</w:t>
    </w:r>
    <w:r>
      <w:rPr>
        <w:sz w:val="22"/>
      </w:rPr>
      <w:t xml:space="preserve"> 	</w:t>
    </w:r>
    <w:fldSimple w:instr=" PAGE   \* MERGEFORMAT ">
      <w:r>
        <w:rPr>
          <w:sz w:val="22"/>
        </w:rPr>
        <w:t xml:space="preserve">2</w:t>
      </w:r>
    </w:fldSimple>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center" w:pos="180"/>
        <w:tab w:val="right" w:pos="9838"/>
      </w:tabs>
      <w:spacing w:before="0" w:after="0" w:line="259" w:lineRule="auto"/>
      <w:ind w:left="0" w:right="0" w:firstLine="0"/>
      <w:jc w:val="left"/>
    </w:pPr>
    <w:r>
      <w:rPr>
        <w:rFonts w:cs="Calibri" w:hAnsi="Calibri" w:eastAsia="Calibri" w:ascii="Calibri"/>
        <w:sz w:val="22"/>
      </w:rPr>
      <w:t xml:space="preserve">	</w:t>
    </w:r>
    <w:r>
      <w:rPr>
        <w:sz w:val="22"/>
      </w:rPr>
      <w:t xml:space="preserve"> 	</w:t>
    </w:r>
    <w:fldSimple w:instr=" PAGE   \* MERGEFORMAT ">
      <w:r>
        <w:rPr>
          <w:sz w:val="22"/>
        </w:rPr>
        <w:t xml:space="preserve">2</w:t>
      </w:r>
    </w:fldSimple>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5110"/>
      </w:tabs>
      <w:spacing w:before="0" w:after="0" w:line="259" w:lineRule="auto"/>
      <w:ind w:left="0" w:right="0" w:firstLine="0"/>
      <w:jc w:val="left"/>
    </w:pPr>
    <w:r>
      <w:rPr>
        <w:sz w:val="22"/>
      </w:rPr>
      <w:t xml:space="preserve"> 	</w:t>
    </w:r>
    <w:fldSimple w:instr=" PAGE   \* MERGEFORMAT ">
      <w:r>
        <w:rPr>
          <w:sz w:val="22"/>
        </w:rPr>
        <w:t xml:space="preserve">9</w:t>
      </w:r>
    </w:fldSimple>
    <w:r>
      <w:rPr>
        <w:sz w:val="22"/>
      </w:rPr>
      <w:t xml:space="preserve"> </w:t>
    </w: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5110"/>
      </w:tabs>
      <w:spacing w:before="0" w:after="0" w:line="259" w:lineRule="auto"/>
      <w:ind w:left="0" w:right="0" w:firstLine="0"/>
      <w:jc w:val="left"/>
    </w:pPr>
    <w:r>
      <w:rPr>
        <w:sz w:val="22"/>
      </w:rPr>
      <w:t xml:space="preserve"> 	</w:t>
    </w:r>
    <w:fldSimple w:instr=" PAGE   \* MERGEFORMAT ">
      <w:r>
        <w:rPr>
          <w:sz w:val="22"/>
        </w:rPr>
        <w:t xml:space="preserve">9</w:t>
      </w:r>
    </w:fldSimple>
    <w:r>
      <w:rPr>
        <w:sz w:val="22"/>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tabs>
        <w:tab w:val="right" w:pos="15110"/>
      </w:tabs>
      <w:spacing w:before="0" w:after="0" w:line="259" w:lineRule="auto"/>
      <w:ind w:left="0" w:right="0" w:firstLine="0"/>
      <w:jc w:val="left"/>
    </w:pPr>
    <w:r>
      <w:rPr>
        <w:sz w:val="22"/>
      </w:rPr>
      <w:t xml:space="preserve"> 	</w:t>
    </w:r>
    <w:fldSimple w:instr=" PAGE   \* MERGEFORMAT ">
      <w:r>
        <w:rPr>
          <w:sz w:val="22"/>
        </w:rPr>
        <w:t xml:space="preserve">9</w:t>
      </w:r>
    </w:fldSimple>
    <w:r>
      <w:rPr>
        <w:sz w:val="22"/>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180" w:right="0" w:firstLine="0"/>
        <w:jc w:val="left"/>
      </w:pPr>
      <w:r>
        <w:separator/>
      </w:r>
    </w:p>
  </w:footnote>
  <w:footnote w:type="continuationSeparator" w:id="0">
    <w:p>
      <w:pPr>
        <w:spacing w:before="0" w:after="0" w:line="259" w:lineRule="auto"/>
        <w:ind w:left="180" w:right="0" w:firstLine="0"/>
        <w:jc w:val="left"/>
      </w:pPr>
      <w:r>
        <w:continuationSeparator/>
      </w:r>
    </w:p>
  </w:footnote>
  <w:footnote w:id="19">
    <w:p>
      <w:pPr>
        <w:pStyle w:val="footnote description"/>
        <w:spacing w:before="0" w:after="0" w:line="259" w:lineRule="auto"/>
        <w:ind w:left="180" w:firstLine="0"/>
      </w:pPr>
      <w:r>
        <w:rPr>
          <w:rStyle w:val="footnote mark"/>
        </w:rPr>
        <w:footnoteRef/>
      </w:r>
      <w:r>
        <w:t xml:space="preserve"/>
      </w:r>
      <w:r>
        <w:rPr>
          <w:vertAlign w:val="baseline"/>
        </w:rPr>
        <w:t xml:space="preserve">  Tanner, Victor and Jerome Tubiana. 2007. “Divided They Fall: The Fragmentation of Darfur’s Rebel Groups” Baseline Assessment Project of the Small Arms Survey No.6, Small Arms Survey, Switzerland. July 2007. p14. </w:t>
      </w:r>
    </w:p>
  </w:footnote>
  <w:footnote w:id="20">
    <w:p>
      <w:pPr>
        <w:pStyle w:val="footnote description"/>
        <w:spacing w:before="0" w:after="0" w:line="259" w:lineRule="auto"/>
        <w:ind w:left="180" w:firstLine="0"/>
      </w:pPr>
      <w:r>
        <w:rPr>
          <w:rStyle w:val="footnote mark"/>
        </w:rPr>
        <w:footnoteRef/>
      </w:r>
      <w:r>
        <w:t xml:space="preserve"/>
      </w:r>
      <w:r>
        <w:rPr>
          <w:vertAlign w:val="baseline"/>
        </w:rPr>
        <w:t xml:space="preserve"> 	 </w:t>
      </w:r>
      <w:r>
        <w:rPr>
          <w:color w:val="333333"/>
          <w:vertAlign w:val="baseline"/>
        </w:rPr>
        <w:t xml:space="preserve">The UN defines a SALW as “any man-portable lethal weapon that expels or launches, is designed to expel or launch, or may be readily converted to expel or launch a shot, bullet or projectile by the action of an explosive.” Commercially manufactured and crafted SALW, ammunition and explosives are included in this definition. </w:t>
      </w:r>
    </w:p>
    <w:p>
      <w:pPr>
        <w:pStyle w:val="footnote description"/>
        <w:spacing w:before="0" w:after="0" w:line="259" w:lineRule="auto"/>
        <w:ind w:left="180" w:firstLine="0"/>
      </w:pPr>
      <w:r>
        <w:rPr>
          <w:rFonts w:cs="Courier New" w:hAnsi="Courier New" w:eastAsia="Courier New" w:ascii="Courier New"/>
          <w:sz w:val="22"/>
          <w:vertAlign w:val="baseline"/>
        </w:rPr>
        <w:t xml:space="preserve">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525"/>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1">
    <w:multiLevelType w:val="hybridMultilevel"/>
    <w:lvl w:ilvl="0">
      <w:start w:val="1"/>
      <w:numFmt w:val="bullet"/>
      <w:lvlText w:val="•"/>
      <w:pPr>
        <w:ind w:left="525"/>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
    <w:multiLevelType w:val="hybridMultilevel"/>
    <w:lvl w:ilvl="0">
      <w:start w:val="1"/>
      <w:numFmt w:val="bullet"/>
      <w:lvlText w:val="•"/>
      <w:pPr>
        <w:ind w:left="525"/>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
    <w:multiLevelType w:val="hybridMultilevel"/>
    <w:lvl w:ilvl="0">
      <w:start w:val="1"/>
      <w:numFmt w:val="bullet"/>
      <w:lvlText w:val="•"/>
      <w:pPr>
        <w:ind w:left="525"/>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4">
    <w:multiLevelType w:val="hybridMultilevel"/>
    <w:lvl w:ilvl="0">
      <w:start w:val="1"/>
      <w:numFmt w:val="bullet"/>
      <w:lvlText w:val="•"/>
      <w:pPr>
        <w:ind w:left="90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6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23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306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7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5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522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9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6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5">
    <w:multiLevelType w:val="hybridMultilevel"/>
    <w:lvl w:ilvl="0">
      <w:start w:val="1"/>
      <w:numFmt w:val="decimal"/>
      <w:lvlText w:val="%1."/>
      <w:pPr>
        <w:ind w:left="526"/>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lowerLetter"/>
      <w:lvlText w:val="%2"/>
      <w:pPr>
        <w:ind w:left="1260"/>
      </w:pPr>
      <w:rPr>
        <w:rFonts w:cs="Arial" w:hAnsi="Arial" w:eastAsia="Arial" w:ascii="Arial"/>
        <w:b w:val="0"/>
        <w:i w:val="0"/>
        <w:strike w:val="0"/>
        <w:dstrike w:val="0"/>
        <w:color w:val="000000"/>
        <w:sz w:val="20"/>
        <w:szCs w:val="20"/>
        <w:u w:val="none" w:color="000000"/>
        <w:bdr w:val="none"/>
        <w:shd w:val="clear"/>
        <w:vertAlign w:val="baseline"/>
      </w:rPr>
    </w:lvl>
    <w:lvl w:ilvl="2">
      <w:start w:val="1"/>
      <w:numFmt w:val="lowerRoman"/>
      <w:lvlText w:val="%3"/>
      <w:pPr>
        <w:ind w:left="1980"/>
      </w:pPr>
      <w:rPr>
        <w:rFonts w:cs="Arial" w:hAnsi="Arial" w:eastAsia="Arial" w:ascii="Arial"/>
        <w:b w:val="0"/>
        <w:i w:val="0"/>
        <w:strike w:val="0"/>
        <w:dstrike w:val="0"/>
        <w:color w:val="000000"/>
        <w:sz w:val="20"/>
        <w:szCs w:val="20"/>
        <w:u w:val="none" w:color="000000"/>
        <w:bdr w:val="none"/>
        <w:shd w:val="clear"/>
        <w:vertAlign w:val="baseline"/>
      </w:rPr>
    </w:lvl>
    <w:lvl w:ilvl="3">
      <w:start w:val="1"/>
      <w:numFmt w:val="decimal"/>
      <w:lvlText w:val="%4"/>
      <w:pPr>
        <w:ind w:left="270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lowerLetter"/>
      <w:lvlText w:val="%5"/>
      <w:pPr>
        <w:ind w:left="3420"/>
      </w:pPr>
      <w:rPr>
        <w:rFonts w:cs="Arial" w:hAnsi="Arial" w:eastAsia="Arial" w:ascii="Arial"/>
        <w:b w:val="0"/>
        <w:i w:val="0"/>
        <w:strike w:val="0"/>
        <w:dstrike w:val="0"/>
        <w:color w:val="000000"/>
        <w:sz w:val="20"/>
        <w:szCs w:val="20"/>
        <w:u w:val="none" w:color="000000"/>
        <w:bdr w:val="none"/>
        <w:shd w:val="clear"/>
        <w:vertAlign w:val="baseline"/>
      </w:rPr>
    </w:lvl>
    <w:lvl w:ilvl="5">
      <w:start w:val="1"/>
      <w:numFmt w:val="lowerRoman"/>
      <w:lvlText w:val="%6"/>
      <w:pPr>
        <w:ind w:left="4140"/>
      </w:pPr>
      <w:rPr>
        <w:rFonts w:cs="Arial" w:hAnsi="Arial" w:eastAsia="Arial" w:ascii="Arial"/>
        <w:b w:val="0"/>
        <w:i w:val="0"/>
        <w:strike w:val="0"/>
        <w:dstrike w:val="0"/>
        <w:color w:val="000000"/>
        <w:sz w:val="20"/>
        <w:szCs w:val="20"/>
        <w:u w:val="none" w:color="000000"/>
        <w:bdr w:val="none"/>
        <w:shd w:val="clear"/>
        <w:vertAlign w:val="baseline"/>
      </w:rPr>
    </w:lvl>
    <w:lvl w:ilvl="6">
      <w:start w:val="1"/>
      <w:numFmt w:val="decimal"/>
      <w:lvlText w:val="%7"/>
      <w:pPr>
        <w:ind w:left="486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lowerLetter"/>
      <w:lvlText w:val="%8"/>
      <w:pPr>
        <w:ind w:left="5580"/>
      </w:pPr>
      <w:rPr>
        <w:rFonts w:cs="Arial" w:hAnsi="Arial" w:eastAsia="Arial" w:ascii="Arial"/>
        <w:b w:val="0"/>
        <w:i w:val="0"/>
        <w:strike w:val="0"/>
        <w:dstrike w:val="0"/>
        <w:color w:val="000000"/>
        <w:sz w:val="20"/>
        <w:szCs w:val="20"/>
        <w:u w:val="none" w:color="000000"/>
        <w:bdr w:val="none"/>
        <w:shd w:val="clear"/>
        <w:vertAlign w:val="baseline"/>
      </w:rPr>
    </w:lvl>
    <w:lvl w:ilvl="8">
      <w:start w:val="1"/>
      <w:numFmt w:val="lowerRoman"/>
      <w:lvlText w:val="%9"/>
      <w:pPr>
        <w:ind w:left="6300"/>
      </w:pPr>
      <w:rPr>
        <w:rFonts w:cs="Arial" w:hAnsi="Arial" w:eastAsia="Arial" w:ascii="Arial"/>
        <w:b w:val="0"/>
        <w:i w:val="0"/>
        <w:strike w:val="0"/>
        <w:dstrike w:val="0"/>
        <w:color w:val="000000"/>
        <w:sz w:val="20"/>
        <w:szCs w:val="20"/>
        <w:u w:val="none" w:color="000000"/>
        <w:bdr w:val="none"/>
        <w:shd w:val="clear"/>
        <w:vertAlign w:val="baseline"/>
      </w:rPr>
    </w:lvl>
  </w:abstractNum>
  <w:abstractNum w:abstractNumId="6">
    <w:multiLevelType w:val="hybridMultilevel"/>
    <w:lvl w:ilvl="0">
      <w:start w:val="1"/>
      <w:numFmt w:val="decimal"/>
      <w:lvlText w:val="(%1)"/>
      <w:pPr>
        <w:ind w:left="108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lowerLetter"/>
      <w:lvlText w:val="%2"/>
      <w:pPr>
        <w:ind w:left="1656"/>
      </w:pPr>
      <w:rPr>
        <w:rFonts w:cs="Arial" w:hAnsi="Arial" w:eastAsia="Arial" w:ascii="Arial"/>
        <w:b w:val="0"/>
        <w:i w:val="0"/>
        <w:strike w:val="0"/>
        <w:dstrike w:val="0"/>
        <w:color w:val="000000"/>
        <w:sz w:val="20"/>
        <w:szCs w:val="20"/>
        <w:u w:val="none" w:color="000000"/>
        <w:bdr w:val="none"/>
        <w:shd w:val="clear"/>
        <w:vertAlign w:val="baseline"/>
      </w:rPr>
    </w:lvl>
    <w:lvl w:ilvl="2">
      <w:start w:val="1"/>
      <w:numFmt w:val="lowerRoman"/>
      <w:lvlText w:val="%3"/>
      <w:pPr>
        <w:ind w:left="2376"/>
      </w:pPr>
      <w:rPr>
        <w:rFonts w:cs="Arial" w:hAnsi="Arial" w:eastAsia="Arial" w:ascii="Arial"/>
        <w:b w:val="0"/>
        <w:i w:val="0"/>
        <w:strike w:val="0"/>
        <w:dstrike w:val="0"/>
        <w:color w:val="000000"/>
        <w:sz w:val="20"/>
        <w:szCs w:val="20"/>
        <w:u w:val="none" w:color="000000"/>
        <w:bdr w:val="none"/>
        <w:shd w:val="clear"/>
        <w:vertAlign w:val="baseline"/>
      </w:rPr>
    </w:lvl>
    <w:lvl w:ilvl="3">
      <w:start w:val="1"/>
      <w:numFmt w:val="decimal"/>
      <w:lvlText w:val="%4"/>
      <w:pPr>
        <w:ind w:left="3096"/>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lowerLetter"/>
      <w:lvlText w:val="%5"/>
      <w:pPr>
        <w:ind w:left="3816"/>
      </w:pPr>
      <w:rPr>
        <w:rFonts w:cs="Arial" w:hAnsi="Arial" w:eastAsia="Arial" w:ascii="Arial"/>
        <w:b w:val="0"/>
        <w:i w:val="0"/>
        <w:strike w:val="0"/>
        <w:dstrike w:val="0"/>
        <w:color w:val="000000"/>
        <w:sz w:val="20"/>
        <w:szCs w:val="20"/>
        <w:u w:val="none" w:color="000000"/>
        <w:bdr w:val="none"/>
        <w:shd w:val="clear"/>
        <w:vertAlign w:val="baseline"/>
      </w:rPr>
    </w:lvl>
    <w:lvl w:ilvl="5">
      <w:start w:val="1"/>
      <w:numFmt w:val="lowerRoman"/>
      <w:lvlText w:val="%6"/>
      <w:pPr>
        <w:ind w:left="4536"/>
      </w:pPr>
      <w:rPr>
        <w:rFonts w:cs="Arial" w:hAnsi="Arial" w:eastAsia="Arial" w:ascii="Arial"/>
        <w:b w:val="0"/>
        <w:i w:val="0"/>
        <w:strike w:val="0"/>
        <w:dstrike w:val="0"/>
        <w:color w:val="000000"/>
        <w:sz w:val="20"/>
        <w:szCs w:val="20"/>
        <w:u w:val="none" w:color="000000"/>
        <w:bdr w:val="none"/>
        <w:shd w:val="clear"/>
        <w:vertAlign w:val="baseline"/>
      </w:rPr>
    </w:lvl>
    <w:lvl w:ilvl="6">
      <w:start w:val="1"/>
      <w:numFmt w:val="decimal"/>
      <w:lvlText w:val="%7"/>
      <w:pPr>
        <w:ind w:left="5256"/>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lowerLetter"/>
      <w:lvlText w:val="%8"/>
      <w:pPr>
        <w:ind w:left="5976"/>
      </w:pPr>
      <w:rPr>
        <w:rFonts w:cs="Arial" w:hAnsi="Arial" w:eastAsia="Arial" w:ascii="Arial"/>
        <w:b w:val="0"/>
        <w:i w:val="0"/>
        <w:strike w:val="0"/>
        <w:dstrike w:val="0"/>
        <w:color w:val="000000"/>
        <w:sz w:val="20"/>
        <w:szCs w:val="20"/>
        <w:u w:val="none" w:color="000000"/>
        <w:bdr w:val="none"/>
        <w:shd w:val="clear"/>
        <w:vertAlign w:val="baseline"/>
      </w:rPr>
    </w:lvl>
    <w:lvl w:ilvl="8">
      <w:start w:val="1"/>
      <w:numFmt w:val="lowerRoman"/>
      <w:lvlText w:val="%9"/>
      <w:pPr>
        <w:ind w:left="6696"/>
      </w:pPr>
      <w:rPr>
        <w:rFonts w:cs="Arial" w:hAnsi="Arial" w:eastAsia="Arial" w:ascii="Arial"/>
        <w:b w:val="0"/>
        <w:i w:val="0"/>
        <w:strike w:val="0"/>
        <w:dstrike w:val="0"/>
        <w:color w:val="000000"/>
        <w:sz w:val="20"/>
        <w:szCs w:val="20"/>
        <w:u w:val="none" w:color="000000"/>
        <w:bdr w:val="none"/>
        <w:shd w:val="clear"/>
        <w:vertAlign w:val="baseline"/>
      </w:rPr>
    </w:lvl>
  </w:abstractNum>
  <w:abstractNum w:abstractNumId="7">
    <w:multiLevelType w:val="hybridMultilevel"/>
    <w:lvl w:ilvl="0">
      <w:start w:val="3"/>
      <w:numFmt w:val="decimal"/>
      <w:lvlText w:val="(%1)"/>
      <w:pPr>
        <w:ind w:left="102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0"/>
        <w:szCs w:val="20"/>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0"/>
        <w:szCs w:val="20"/>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0"/>
        <w:szCs w:val="20"/>
        <w:u w:val="none" w:color="000000"/>
        <w:bdr w:val="none"/>
        <w:shd w:val="clear"/>
        <w:vertAlign w:val="baseline"/>
      </w:rPr>
    </w:lvl>
  </w:abstractNum>
  <w:abstractNum w:abstractNumId="8">
    <w:multiLevelType w:val="hybridMultilevel"/>
    <w:lvl w:ilvl="0">
      <w:start w:val="1"/>
      <w:numFmt w:val="bullet"/>
      <w:lvlText w:val="•"/>
      <w:pPr>
        <w:ind w:left="198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2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70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4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1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86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3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9">
    <w:multiLevelType w:val="hybridMultilevel"/>
    <w:lvl w:ilvl="0">
      <w:start w:val="1"/>
      <w:numFmt w:val="decimal"/>
      <w:lvlText w:val="%1)"/>
      <w:pPr>
        <w:ind w:left="721"/>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0"/>
        <w:szCs w:val="20"/>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0"/>
        <w:szCs w:val="20"/>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0"/>
        <w:szCs w:val="20"/>
        <w:u w:val="none" w:color="000000"/>
        <w:bdr w:val="none"/>
        <w:shd w:val="clear"/>
        <w:vertAlign w:val="baseline"/>
      </w:rPr>
    </w:lvl>
  </w:abstractNum>
  <w:abstractNum w:abstractNumId="10">
    <w:multiLevelType w:val="hybridMultilevel"/>
    <w:lvl w:ilvl="0">
      <w:start w:val="1"/>
      <w:numFmt w:val="bullet"/>
      <w:lvlText w:val="¾"/>
      <w:pPr>
        <w:ind w:left="720"/>
      </w:pPr>
      <w:rPr>
        <w:rFonts w:cs="Wingdings" w:hAnsi="Wingdings" w:eastAsia="Wingdings" w:ascii="Wingdings"/>
        <w:b w:val="0"/>
        <w:i w:val="0"/>
        <w:strike w:val="0"/>
        <w:dstrike w:val="0"/>
        <w:color w:val="000000"/>
        <w:sz w:val="20"/>
        <w:szCs w:val="20"/>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0"/>
        <w:szCs w:val="20"/>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0"/>
        <w:szCs w:val="20"/>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0"/>
        <w:szCs w:val="20"/>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0"/>
        <w:szCs w:val="20"/>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0"/>
        <w:szCs w:val="20"/>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0"/>
        <w:szCs w:val="20"/>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0"/>
        <w:szCs w:val="20"/>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0"/>
        <w:szCs w:val="20"/>
        <w:u w:val="none" w:color="000000"/>
        <w:bdr w:val="none"/>
        <w:shd w:val="clear"/>
        <w:vertAlign w:val="baseline"/>
      </w:rPr>
    </w:lvl>
  </w:abstractNum>
  <w:abstractNum w:abstractNumId="11">
    <w:multiLevelType w:val="hybridMultilevel"/>
    <w:lvl w:ilvl="0">
      <w:start w:val="1"/>
      <w:numFmt w:val="lowerLetter"/>
      <w:lvlText w:val="%1)"/>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0"/>
        <w:szCs w:val="20"/>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0"/>
        <w:szCs w:val="20"/>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0"/>
        <w:szCs w:val="20"/>
        <w:u w:val="none" w:color="000000"/>
        <w:bdr w:val="none"/>
        <w:shd w:val="clear"/>
        <w:vertAlign w:val="baseline"/>
      </w:rPr>
    </w:lvl>
  </w:abstractNum>
  <w:abstractNum w:abstractNumId="12">
    <w:multiLevelType w:val="hybridMultilevel"/>
    <w:lvl w:ilvl="0">
      <w:start w:val="1"/>
      <w:numFmt w:val="decimal"/>
      <w:lvlText w:val="(%1)"/>
      <w:pPr>
        <w:ind w:left="360"/>
      </w:pPr>
      <w:rPr>
        <w:rFonts w:cs="Arial" w:hAnsi="Arial" w:eastAsia="Arial" w:ascii="Arial"/>
        <w:b w:val="0"/>
        <w:i w:val="1"/>
        <w:iCs/>
        <w:strike w:val="0"/>
        <w:dstrike w:val="0"/>
        <w:color w:val="000000"/>
        <w:sz w:val="20"/>
        <w:szCs w:val="20"/>
        <w:u w:val="none" w:color="000000"/>
        <w:bdr w:val="none"/>
        <w:shd w:val="clear"/>
        <w:vertAlign w:val="baseline"/>
      </w:rPr>
    </w:lvl>
    <w:lvl w:ilvl="1">
      <w:start w:val="1"/>
      <w:numFmt w:val="lowerLetter"/>
      <w:lvlText w:val="%2"/>
      <w:pPr>
        <w:ind w:left="1188"/>
      </w:pPr>
      <w:rPr>
        <w:rFonts w:cs="Arial" w:hAnsi="Arial" w:eastAsia="Arial" w:ascii="Arial"/>
        <w:b w:val="0"/>
        <w:i w:val="1"/>
        <w:iCs/>
        <w:strike w:val="0"/>
        <w:dstrike w:val="0"/>
        <w:color w:val="000000"/>
        <w:sz w:val="20"/>
        <w:szCs w:val="20"/>
        <w:u w:val="none" w:color="000000"/>
        <w:bdr w:val="none"/>
        <w:shd w:val="clear"/>
        <w:vertAlign w:val="baseline"/>
      </w:rPr>
    </w:lvl>
    <w:lvl w:ilvl="2">
      <w:start w:val="1"/>
      <w:numFmt w:val="lowerRoman"/>
      <w:lvlText w:val="%3"/>
      <w:pPr>
        <w:ind w:left="1908"/>
      </w:pPr>
      <w:rPr>
        <w:rFonts w:cs="Arial" w:hAnsi="Arial" w:eastAsia="Arial" w:ascii="Arial"/>
        <w:b w:val="0"/>
        <w:i w:val="1"/>
        <w:iCs/>
        <w:strike w:val="0"/>
        <w:dstrike w:val="0"/>
        <w:color w:val="000000"/>
        <w:sz w:val="20"/>
        <w:szCs w:val="20"/>
        <w:u w:val="none" w:color="000000"/>
        <w:bdr w:val="none"/>
        <w:shd w:val="clear"/>
        <w:vertAlign w:val="baseline"/>
      </w:rPr>
    </w:lvl>
    <w:lvl w:ilvl="3">
      <w:start w:val="1"/>
      <w:numFmt w:val="decimal"/>
      <w:lvlText w:val="%4"/>
      <w:pPr>
        <w:ind w:left="2628"/>
      </w:pPr>
      <w:rPr>
        <w:rFonts w:cs="Arial" w:hAnsi="Arial" w:eastAsia="Arial" w:ascii="Arial"/>
        <w:b w:val="0"/>
        <w:i w:val="1"/>
        <w:iCs/>
        <w:strike w:val="0"/>
        <w:dstrike w:val="0"/>
        <w:color w:val="000000"/>
        <w:sz w:val="20"/>
        <w:szCs w:val="20"/>
        <w:u w:val="none" w:color="000000"/>
        <w:bdr w:val="none"/>
        <w:shd w:val="clear"/>
        <w:vertAlign w:val="baseline"/>
      </w:rPr>
    </w:lvl>
    <w:lvl w:ilvl="4">
      <w:start w:val="1"/>
      <w:numFmt w:val="lowerLetter"/>
      <w:lvlText w:val="%5"/>
      <w:pPr>
        <w:ind w:left="3348"/>
      </w:pPr>
      <w:rPr>
        <w:rFonts w:cs="Arial" w:hAnsi="Arial" w:eastAsia="Arial" w:ascii="Arial"/>
        <w:b w:val="0"/>
        <w:i w:val="1"/>
        <w:iCs/>
        <w:strike w:val="0"/>
        <w:dstrike w:val="0"/>
        <w:color w:val="000000"/>
        <w:sz w:val="20"/>
        <w:szCs w:val="20"/>
        <w:u w:val="none" w:color="000000"/>
        <w:bdr w:val="none"/>
        <w:shd w:val="clear"/>
        <w:vertAlign w:val="baseline"/>
      </w:rPr>
    </w:lvl>
    <w:lvl w:ilvl="5">
      <w:start w:val="1"/>
      <w:numFmt w:val="lowerRoman"/>
      <w:lvlText w:val="%6"/>
      <w:pPr>
        <w:ind w:left="4068"/>
      </w:pPr>
      <w:rPr>
        <w:rFonts w:cs="Arial" w:hAnsi="Arial" w:eastAsia="Arial" w:ascii="Arial"/>
        <w:b w:val="0"/>
        <w:i w:val="1"/>
        <w:iCs/>
        <w:strike w:val="0"/>
        <w:dstrike w:val="0"/>
        <w:color w:val="000000"/>
        <w:sz w:val="20"/>
        <w:szCs w:val="20"/>
        <w:u w:val="none" w:color="000000"/>
        <w:bdr w:val="none"/>
        <w:shd w:val="clear"/>
        <w:vertAlign w:val="baseline"/>
      </w:rPr>
    </w:lvl>
    <w:lvl w:ilvl="6">
      <w:start w:val="1"/>
      <w:numFmt w:val="decimal"/>
      <w:lvlText w:val="%7"/>
      <w:pPr>
        <w:ind w:left="4788"/>
      </w:pPr>
      <w:rPr>
        <w:rFonts w:cs="Arial" w:hAnsi="Arial" w:eastAsia="Arial" w:ascii="Arial"/>
        <w:b w:val="0"/>
        <w:i w:val="1"/>
        <w:iCs/>
        <w:strike w:val="0"/>
        <w:dstrike w:val="0"/>
        <w:color w:val="000000"/>
        <w:sz w:val="20"/>
        <w:szCs w:val="20"/>
        <w:u w:val="none" w:color="000000"/>
        <w:bdr w:val="none"/>
        <w:shd w:val="clear"/>
        <w:vertAlign w:val="baseline"/>
      </w:rPr>
    </w:lvl>
    <w:lvl w:ilvl="7">
      <w:start w:val="1"/>
      <w:numFmt w:val="lowerLetter"/>
      <w:lvlText w:val="%8"/>
      <w:pPr>
        <w:ind w:left="5508"/>
      </w:pPr>
      <w:rPr>
        <w:rFonts w:cs="Arial" w:hAnsi="Arial" w:eastAsia="Arial" w:ascii="Arial"/>
        <w:b w:val="0"/>
        <w:i w:val="1"/>
        <w:iCs/>
        <w:strike w:val="0"/>
        <w:dstrike w:val="0"/>
        <w:color w:val="000000"/>
        <w:sz w:val="20"/>
        <w:szCs w:val="20"/>
        <w:u w:val="none" w:color="000000"/>
        <w:bdr w:val="none"/>
        <w:shd w:val="clear"/>
        <w:vertAlign w:val="baseline"/>
      </w:rPr>
    </w:lvl>
    <w:lvl w:ilvl="8">
      <w:start w:val="1"/>
      <w:numFmt w:val="lowerRoman"/>
      <w:lvlText w:val="%9"/>
      <w:pPr>
        <w:ind w:left="6228"/>
      </w:pPr>
      <w:rPr>
        <w:rFonts w:cs="Arial" w:hAnsi="Arial" w:eastAsia="Arial" w:ascii="Arial"/>
        <w:b w:val="0"/>
        <w:i w:val="1"/>
        <w:iCs/>
        <w:strike w:val="0"/>
        <w:dstrike w:val="0"/>
        <w:color w:val="000000"/>
        <w:sz w:val="20"/>
        <w:szCs w:val="20"/>
        <w:u w:val="none" w:color="000000"/>
        <w:bdr w:val="none"/>
        <w:shd w:val="clear"/>
        <w:vertAlign w:val="baseline"/>
      </w:rPr>
    </w:lvl>
  </w:abstractNum>
  <w:abstractNum w:abstractNumId="13">
    <w:multiLevelType w:val="hybridMultilevel"/>
    <w:lvl w:ilvl="0">
      <w:start w:val="1"/>
      <w:numFmt w:val="decimal"/>
      <w:lvlText w:val="(%1)"/>
      <w:pPr>
        <w:ind w:left="1"/>
      </w:pPr>
      <w:rPr>
        <w:rFonts w:cs="Arial" w:hAnsi="Arial" w:eastAsia="Arial" w:ascii="Arial"/>
        <w:b w:val="0"/>
        <w:i w:val="1"/>
        <w:iCs/>
        <w:strike w:val="0"/>
        <w:dstrike w:val="0"/>
        <w:color w:val="000000"/>
        <w:sz w:val="20"/>
        <w:szCs w:val="20"/>
        <w:u w:val="none" w:color="000000"/>
        <w:bdr w:val="none"/>
        <w:shd w:val="clear"/>
        <w:vertAlign w:val="baseline"/>
      </w:rPr>
    </w:lvl>
    <w:lvl w:ilvl="1">
      <w:start w:val="1"/>
      <w:numFmt w:val="lowerLetter"/>
      <w:lvlText w:val="%2"/>
      <w:pPr>
        <w:ind w:left="1188"/>
      </w:pPr>
      <w:rPr>
        <w:rFonts w:cs="Arial" w:hAnsi="Arial" w:eastAsia="Arial" w:ascii="Arial"/>
        <w:b w:val="0"/>
        <w:i w:val="1"/>
        <w:iCs/>
        <w:strike w:val="0"/>
        <w:dstrike w:val="0"/>
        <w:color w:val="000000"/>
        <w:sz w:val="20"/>
        <w:szCs w:val="20"/>
        <w:u w:val="none" w:color="000000"/>
        <w:bdr w:val="none"/>
        <w:shd w:val="clear"/>
        <w:vertAlign w:val="baseline"/>
      </w:rPr>
    </w:lvl>
    <w:lvl w:ilvl="2">
      <w:start w:val="1"/>
      <w:numFmt w:val="lowerRoman"/>
      <w:lvlText w:val="%3"/>
      <w:pPr>
        <w:ind w:left="1908"/>
      </w:pPr>
      <w:rPr>
        <w:rFonts w:cs="Arial" w:hAnsi="Arial" w:eastAsia="Arial" w:ascii="Arial"/>
        <w:b w:val="0"/>
        <w:i w:val="1"/>
        <w:iCs/>
        <w:strike w:val="0"/>
        <w:dstrike w:val="0"/>
        <w:color w:val="000000"/>
        <w:sz w:val="20"/>
        <w:szCs w:val="20"/>
        <w:u w:val="none" w:color="000000"/>
        <w:bdr w:val="none"/>
        <w:shd w:val="clear"/>
        <w:vertAlign w:val="baseline"/>
      </w:rPr>
    </w:lvl>
    <w:lvl w:ilvl="3">
      <w:start w:val="1"/>
      <w:numFmt w:val="decimal"/>
      <w:lvlText w:val="%4"/>
      <w:pPr>
        <w:ind w:left="2628"/>
      </w:pPr>
      <w:rPr>
        <w:rFonts w:cs="Arial" w:hAnsi="Arial" w:eastAsia="Arial" w:ascii="Arial"/>
        <w:b w:val="0"/>
        <w:i w:val="1"/>
        <w:iCs/>
        <w:strike w:val="0"/>
        <w:dstrike w:val="0"/>
        <w:color w:val="000000"/>
        <w:sz w:val="20"/>
        <w:szCs w:val="20"/>
        <w:u w:val="none" w:color="000000"/>
        <w:bdr w:val="none"/>
        <w:shd w:val="clear"/>
        <w:vertAlign w:val="baseline"/>
      </w:rPr>
    </w:lvl>
    <w:lvl w:ilvl="4">
      <w:start w:val="1"/>
      <w:numFmt w:val="lowerLetter"/>
      <w:lvlText w:val="%5"/>
      <w:pPr>
        <w:ind w:left="3348"/>
      </w:pPr>
      <w:rPr>
        <w:rFonts w:cs="Arial" w:hAnsi="Arial" w:eastAsia="Arial" w:ascii="Arial"/>
        <w:b w:val="0"/>
        <w:i w:val="1"/>
        <w:iCs/>
        <w:strike w:val="0"/>
        <w:dstrike w:val="0"/>
        <w:color w:val="000000"/>
        <w:sz w:val="20"/>
        <w:szCs w:val="20"/>
        <w:u w:val="none" w:color="000000"/>
        <w:bdr w:val="none"/>
        <w:shd w:val="clear"/>
        <w:vertAlign w:val="baseline"/>
      </w:rPr>
    </w:lvl>
    <w:lvl w:ilvl="5">
      <w:start w:val="1"/>
      <w:numFmt w:val="lowerRoman"/>
      <w:lvlText w:val="%6"/>
      <w:pPr>
        <w:ind w:left="4068"/>
      </w:pPr>
      <w:rPr>
        <w:rFonts w:cs="Arial" w:hAnsi="Arial" w:eastAsia="Arial" w:ascii="Arial"/>
        <w:b w:val="0"/>
        <w:i w:val="1"/>
        <w:iCs/>
        <w:strike w:val="0"/>
        <w:dstrike w:val="0"/>
        <w:color w:val="000000"/>
        <w:sz w:val="20"/>
        <w:szCs w:val="20"/>
        <w:u w:val="none" w:color="000000"/>
        <w:bdr w:val="none"/>
        <w:shd w:val="clear"/>
        <w:vertAlign w:val="baseline"/>
      </w:rPr>
    </w:lvl>
    <w:lvl w:ilvl="6">
      <w:start w:val="1"/>
      <w:numFmt w:val="decimal"/>
      <w:lvlText w:val="%7"/>
      <w:pPr>
        <w:ind w:left="4788"/>
      </w:pPr>
      <w:rPr>
        <w:rFonts w:cs="Arial" w:hAnsi="Arial" w:eastAsia="Arial" w:ascii="Arial"/>
        <w:b w:val="0"/>
        <w:i w:val="1"/>
        <w:iCs/>
        <w:strike w:val="0"/>
        <w:dstrike w:val="0"/>
        <w:color w:val="000000"/>
        <w:sz w:val="20"/>
        <w:szCs w:val="20"/>
        <w:u w:val="none" w:color="000000"/>
        <w:bdr w:val="none"/>
        <w:shd w:val="clear"/>
        <w:vertAlign w:val="baseline"/>
      </w:rPr>
    </w:lvl>
    <w:lvl w:ilvl="7">
      <w:start w:val="1"/>
      <w:numFmt w:val="lowerLetter"/>
      <w:lvlText w:val="%8"/>
      <w:pPr>
        <w:ind w:left="5508"/>
      </w:pPr>
      <w:rPr>
        <w:rFonts w:cs="Arial" w:hAnsi="Arial" w:eastAsia="Arial" w:ascii="Arial"/>
        <w:b w:val="0"/>
        <w:i w:val="1"/>
        <w:iCs/>
        <w:strike w:val="0"/>
        <w:dstrike w:val="0"/>
        <w:color w:val="000000"/>
        <w:sz w:val="20"/>
        <w:szCs w:val="20"/>
        <w:u w:val="none" w:color="000000"/>
        <w:bdr w:val="none"/>
        <w:shd w:val="clear"/>
        <w:vertAlign w:val="baseline"/>
      </w:rPr>
    </w:lvl>
    <w:lvl w:ilvl="8">
      <w:start w:val="1"/>
      <w:numFmt w:val="lowerRoman"/>
      <w:lvlText w:val="%9"/>
      <w:pPr>
        <w:ind w:left="6228"/>
      </w:pPr>
      <w:rPr>
        <w:rFonts w:cs="Arial" w:hAnsi="Arial" w:eastAsia="Arial" w:ascii="Arial"/>
        <w:b w:val="0"/>
        <w:i w:val="1"/>
        <w:iCs/>
        <w:strike w:val="0"/>
        <w:dstrike w:val="0"/>
        <w:color w:val="000000"/>
        <w:sz w:val="20"/>
        <w:szCs w:val="20"/>
        <w:u w:val="none" w:color="000000"/>
        <w:bdr w:val="none"/>
        <w:shd w:val="clear"/>
        <w:vertAlign w:val="baseline"/>
      </w:rPr>
    </w:lvl>
  </w:abstractNum>
  <w:abstractNum w:abstractNumId="14">
    <w:multiLevelType w:val="hybridMultilevel"/>
    <w:lvl w:ilvl="0">
      <w:start w:val="3"/>
      <w:numFmt w:val="decimal"/>
      <w:lvlText w:val="(%1)"/>
      <w:pPr>
        <w:ind w:left="253"/>
      </w:pPr>
      <w:rPr>
        <w:rFonts w:cs="Arial" w:hAnsi="Arial" w:eastAsia="Arial" w:ascii="Arial"/>
        <w:b w:val="0"/>
        <w:i w:val="0"/>
        <w:strike w:val="0"/>
        <w:dstrike w:val="0"/>
        <w:color w:val="000000"/>
        <w:sz w:val="16"/>
        <w:szCs w:val="16"/>
        <w:u w:val="none" w:color="000000"/>
        <w:bdr w:val="none"/>
        <w:shd w:val="clear"/>
        <w:vertAlign w:val="baseline"/>
      </w:rPr>
    </w:lvl>
    <w:lvl w:ilvl="1">
      <w:start w:val="1"/>
      <w:numFmt w:val="lowerLetter"/>
      <w:lvlText w:val="%2"/>
      <w:pPr>
        <w:ind w:left="1188"/>
      </w:pPr>
      <w:rPr>
        <w:rFonts w:cs="Arial" w:hAnsi="Arial" w:eastAsia="Arial" w:ascii="Arial"/>
        <w:b w:val="0"/>
        <w:i w:val="0"/>
        <w:strike w:val="0"/>
        <w:dstrike w:val="0"/>
        <w:color w:val="000000"/>
        <w:sz w:val="16"/>
        <w:szCs w:val="16"/>
        <w:u w:val="none" w:color="000000"/>
        <w:bdr w:val="none"/>
        <w:shd w:val="clear"/>
        <w:vertAlign w:val="baseline"/>
      </w:rPr>
    </w:lvl>
    <w:lvl w:ilvl="2">
      <w:start w:val="1"/>
      <w:numFmt w:val="lowerRoman"/>
      <w:lvlText w:val="%3"/>
      <w:pPr>
        <w:ind w:left="1908"/>
      </w:pPr>
      <w:rPr>
        <w:rFonts w:cs="Arial" w:hAnsi="Arial" w:eastAsia="Arial" w:ascii="Arial"/>
        <w:b w:val="0"/>
        <w:i w:val="0"/>
        <w:strike w:val="0"/>
        <w:dstrike w:val="0"/>
        <w:color w:val="000000"/>
        <w:sz w:val="16"/>
        <w:szCs w:val="16"/>
        <w:u w:val="none" w:color="000000"/>
        <w:bdr w:val="none"/>
        <w:shd w:val="clear"/>
        <w:vertAlign w:val="baseline"/>
      </w:rPr>
    </w:lvl>
    <w:lvl w:ilvl="3">
      <w:start w:val="1"/>
      <w:numFmt w:val="decimal"/>
      <w:lvlText w:val="%4"/>
      <w:pPr>
        <w:ind w:left="2628"/>
      </w:pPr>
      <w:rPr>
        <w:rFonts w:cs="Arial" w:hAnsi="Arial" w:eastAsia="Arial" w:ascii="Arial"/>
        <w:b w:val="0"/>
        <w:i w:val="0"/>
        <w:strike w:val="0"/>
        <w:dstrike w:val="0"/>
        <w:color w:val="000000"/>
        <w:sz w:val="16"/>
        <w:szCs w:val="16"/>
        <w:u w:val="none" w:color="000000"/>
        <w:bdr w:val="none"/>
        <w:shd w:val="clear"/>
        <w:vertAlign w:val="baseline"/>
      </w:rPr>
    </w:lvl>
    <w:lvl w:ilvl="4">
      <w:start w:val="1"/>
      <w:numFmt w:val="lowerLetter"/>
      <w:lvlText w:val="%5"/>
      <w:pPr>
        <w:ind w:left="3348"/>
      </w:pPr>
      <w:rPr>
        <w:rFonts w:cs="Arial" w:hAnsi="Arial" w:eastAsia="Arial" w:ascii="Arial"/>
        <w:b w:val="0"/>
        <w:i w:val="0"/>
        <w:strike w:val="0"/>
        <w:dstrike w:val="0"/>
        <w:color w:val="000000"/>
        <w:sz w:val="16"/>
        <w:szCs w:val="16"/>
        <w:u w:val="none" w:color="000000"/>
        <w:bdr w:val="none"/>
        <w:shd w:val="clear"/>
        <w:vertAlign w:val="baseline"/>
      </w:rPr>
    </w:lvl>
    <w:lvl w:ilvl="5">
      <w:start w:val="1"/>
      <w:numFmt w:val="lowerRoman"/>
      <w:lvlText w:val="%6"/>
      <w:pPr>
        <w:ind w:left="4068"/>
      </w:pPr>
      <w:rPr>
        <w:rFonts w:cs="Arial" w:hAnsi="Arial" w:eastAsia="Arial" w:ascii="Arial"/>
        <w:b w:val="0"/>
        <w:i w:val="0"/>
        <w:strike w:val="0"/>
        <w:dstrike w:val="0"/>
        <w:color w:val="000000"/>
        <w:sz w:val="16"/>
        <w:szCs w:val="16"/>
        <w:u w:val="none" w:color="000000"/>
        <w:bdr w:val="none"/>
        <w:shd w:val="clear"/>
        <w:vertAlign w:val="baseline"/>
      </w:rPr>
    </w:lvl>
    <w:lvl w:ilvl="6">
      <w:start w:val="1"/>
      <w:numFmt w:val="decimal"/>
      <w:lvlText w:val="%7"/>
      <w:pPr>
        <w:ind w:left="4788"/>
      </w:pPr>
      <w:rPr>
        <w:rFonts w:cs="Arial" w:hAnsi="Arial" w:eastAsia="Arial" w:ascii="Arial"/>
        <w:b w:val="0"/>
        <w:i w:val="0"/>
        <w:strike w:val="0"/>
        <w:dstrike w:val="0"/>
        <w:color w:val="000000"/>
        <w:sz w:val="16"/>
        <w:szCs w:val="16"/>
        <w:u w:val="none" w:color="000000"/>
        <w:bdr w:val="none"/>
        <w:shd w:val="clear"/>
        <w:vertAlign w:val="baseline"/>
      </w:rPr>
    </w:lvl>
    <w:lvl w:ilvl="7">
      <w:start w:val="1"/>
      <w:numFmt w:val="lowerLetter"/>
      <w:lvlText w:val="%8"/>
      <w:pPr>
        <w:ind w:left="5508"/>
      </w:pPr>
      <w:rPr>
        <w:rFonts w:cs="Arial" w:hAnsi="Arial" w:eastAsia="Arial" w:ascii="Arial"/>
        <w:b w:val="0"/>
        <w:i w:val="0"/>
        <w:strike w:val="0"/>
        <w:dstrike w:val="0"/>
        <w:color w:val="000000"/>
        <w:sz w:val="16"/>
        <w:szCs w:val="16"/>
        <w:u w:val="none" w:color="000000"/>
        <w:bdr w:val="none"/>
        <w:shd w:val="clear"/>
        <w:vertAlign w:val="baseline"/>
      </w:rPr>
    </w:lvl>
    <w:lvl w:ilvl="8">
      <w:start w:val="1"/>
      <w:numFmt w:val="lowerRoman"/>
      <w:lvlText w:val="%9"/>
      <w:pPr>
        <w:ind w:left="6228"/>
      </w:pPr>
      <w:rPr>
        <w:rFonts w:cs="Arial" w:hAnsi="Arial" w:eastAsia="Arial" w:ascii="Arial"/>
        <w:b w:val="0"/>
        <w:i w:val="0"/>
        <w:strike w:val="0"/>
        <w:dstrike w:val="0"/>
        <w:color w:val="000000"/>
        <w:sz w:val="16"/>
        <w:szCs w:val="16"/>
        <w:u w:val="none" w:color="000000"/>
        <w:bdr w:val="none"/>
        <w:shd w:val="clear"/>
        <w:vertAlign w:val="baseline"/>
      </w:rPr>
    </w:lvl>
  </w:abstractNum>
  <w:abstractNum w:abstractNumId="15">
    <w:multiLevelType w:val="hybridMultilevel"/>
    <w:lvl w:ilvl="0">
      <w:start w:val="1"/>
      <w:numFmt w:val="decimal"/>
      <w:lvlText w:val="(%1."/>
      <w:pPr>
        <w:ind w:left="1"/>
      </w:pPr>
      <w:rPr>
        <w:rFonts w:cs="Arial" w:hAnsi="Arial" w:eastAsia="Arial" w:ascii="Arial"/>
        <w:b w:val="0"/>
        <w:i w:val="0"/>
        <w:strike w:val="0"/>
        <w:dstrike w:val="0"/>
        <w:color w:val="000000"/>
        <w:sz w:val="16"/>
        <w:szCs w:val="16"/>
        <w:u w:val="none" w:color="000000"/>
        <w:bdr w:val="none"/>
        <w:shd w:val="clear"/>
        <w:vertAlign w:val="baseline"/>
      </w:rPr>
    </w:lvl>
    <w:lvl w:ilvl="1">
      <w:start w:val="1"/>
      <w:numFmt w:val="lowerLetter"/>
      <w:lvlText w:val="%2"/>
      <w:pPr>
        <w:ind w:left="1188"/>
      </w:pPr>
      <w:rPr>
        <w:rFonts w:cs="Arial" w:hAnsi="Arial" w:eastAsia="Arial" w:ascii="Arial"/>
        <w:b w:val="0"/>
        <w:i w:val="0"/>
        <w:strike w:val="0"/>
        <w:dstrike w:val="0"/>
        <w:color w:val="000000"/>
        <w:sz w:val="16"/>
        <w:szCs w:val="16"/>
        <w:u w:val="none" w:color="000000"/>
        <w:bdr w:val="none"/>
        <w:shd w:val="clear"/>
        <w:vertAlign w:val="baseline"/>
      </w:rPr>
    </w:lvl>
    <w:lvl w:ilvl="2">
      <w:start w:val="1"/>
      <w:numFmt w:val="lowerRoman"/>
      <w:lvlText w:val="%3"/>
      <w:pPr>
        <w:ind w:left="1908"/>
      </w:pPr>
      <w:rPr>
        <w:rFonts w:cs="Arial" w:hAnsi="Arial" w:eastAsia="Arial" w:ascii="Arial"/>
        <w:b w:val="0"/>
        <w:i w:val="0"/>
        <w:strike w:val="0"/>
        <w:dstrike w:val="0"/>
        <w:color w:val="000000"/>
        <w:sz w:val="16"/>
        <w:szCs w:val="16"/>
        <w:u w:val="none" w:color="000000"/>
        <w:bdr w:val="none"/>
        <w:shd w:val="clear"/>
        <w:vertAlign w:val="baseline"/>
      </w:rPr>
    </w:lvl>
    <w:lvl w:ilvl="3">
      <w:start w:val="1"/>
      <w:numFmt w:val="decimal"/>
      <w:lvlText w:val="%4"/>
      <w:pPr>
        <w:ind w:left="2628"/>
      </w:pPr>
      <w:rPr>
        <w:rFonts w:cs="Arial" w:hAnsi="Arial" w:eastAsia="Arial" w:ascii="Arial"/>
        <w:b w:val="0"/>
        <w:i w:val="0"/>
        <w:strike w:val="0"/>
        <w:dstrike w:val="0"/>
        <w:color w:val="000000"/>
        <w:sz w:val="16"/>
        <w:szCs w:val="16"/>
        <w:u w:val="none" w:color="000000"/>
        <w:bdr w:val="none"/>
        <w:shd w:val="clear"/>
        <w:vertAlign w:val="baseline"/>
      </w:rPr>
    </w:lvl>
    <w:lvl w:ilvl="4">
      <w:start w:val="1"/>
      <w:numFmt w:val="lowerLetter"/>
      <w:lvlText w:val="%5"/>
      <w:pPr>
        <w:ind w:left="3348"/>
      </w:pPr>
      <w:rPr>
        <w:rFonts w:cs="Arial" w:hAnsi="Arial" w:eastAsia="Arial" w:ascii="Arial"/>
        <w:b w:val="0"/>
        <w:i w:val="0"/>
        <w:strike w:val="0"/>
        <w:dstrike w:val="0"/>
        <w:color w:val="000000"/>
        <w:sz w:val="16"/>
        <w:szCs w:val="16"/>
        <w:u w:val="none" w:color="000000"/>
        <w:bdr w:val="none"/>
        <w:shd w:val="clear"/>
        <w:vertAlign w:val="baseline"/>
      </w:rPr>
    </w:lvl>
    <w:lvl w:ilvl="5">
      <w:start w:val="1"/>
      <w:numFmt w:val="lowerRoman"/>
      <w:lvlText w:val="%6"/>
      <w:pPr>
        <w:ind w:left="4068"/>
      </w:pPr>
      <w:rPr>
        <w:rFonts w:cs="Arial" w:hAnsi="Arial" w:eastAsia="Arial" w:ascii="Arial"/>
        <w:b w:val="0"/>
        <w:i w:val="0"/>
        <w:strike w:val="0"/>
        <w:dstrike w:val="0"/>
        <w:color w:val="000000"/>
        <w:sz w:val="16"/>
        <w:szCs w:val="16"/>
        <w:u w:val="none" w:color="000000"/>
        <w:bdr w:val="none"/>
        <w:shd w:val="clear"/>
        <w:vertAlign w:val="baseline"/>
      </w:rPr>
    </w:lvl>
    <w:lvl w:ilvl="6">
      <w:start w:val="1"/>
      <w:numFmt w:val="decimal"/>
      <w:lvlText w:val="%7"/>
      <w:pPr>
        <w:ind w:left="4788"/>
      </w:pPr>
      <w:rPr>
        <w:rFonts w:cs="Arial" w:hAnsi="Arial" w:eastAsia="Arial" w:ascii="Arial"/>
        <w:b w:val="0"/>
        <w:i w:val="0"/>
        <w:strike w:val="0"/>
        <w:dstrike w:val="0"/>
        <w:color w:val="000000"/>
        <w:sz w:val="16"/>
        <w:szCs w:val="16"/>
        <w:u w:val="none" w:color="000000"/>
        <w:bdr w:val="none"/>
        <w:shd w:val="clear"/>
        <w:vertAlign w:val="baseline"/>
      </w:rPr>
    </w:lvl>
    <w:lvl w:ilvl="7">
      <w:start w:val="1"/>
      <w:numFmt w:val="lowerLetter"/>
      <w:lvlText w:val="%8"/>
      <w:pPr>
        <w:ind w:left="5508"/>
      </w:pPr>
      <w:rPr>
        <w:rFonts w:cs="Arial" w:hAnsi="Arial" w:eastAsia="Arial" w:ascii="Arial"/>
        <w:b w:val="0"/>
        <w:i w:val="0"/>
        <w:strike w:val="0"/>
        <w:dstrike w:val="0"/>
        <w:color w:val="000000"/>
        <w:sz w:val="16"/>
        <w:szCs w:val="16"/>
        <w:u w:val="none" w:color="000000"/>
        <w:bdr w:val="none"/>
        <w:shd w:val="clear"/>
        <w:vertAlign w:val="baseline"/>
      </w:rPr>
    </w:lvl>
    <w:lvl w:ilvl="8">
      <w:start w:val="1"/>
      <w:numFmt w:val="lowerRoman"/>
      <w:lvlText w:val="%9"/>
      <w:pPr>
        <w:ind w:left="6228"/>
      </w:pPr>
      <w:rPr>
        <w:rFonts w:cs="Arial" w:hAnsi="Arial" w:eastAsia="Arial" w:ascii="Arial"/>
        <w:b w:val="0"/>
        <w:i w:val="0"/>
        <w:strike w:val="0"/>
        <w:dstrike w:val="0"/>
        <w:color w:val="000000"/>
        <w:sz w:val="16"/>
        <w:szCs w:val="16"/>
        <w:u w:val="none" w:color="000000"/>
        <w:bdr w:val="none"/>
        <w:shd w:val="clear"/>
        <w:vertAlign w:val="baseline"/>
      </w:rPr>
    </w:lvl>
  </w:abstractNum>
  <w:abstractNum w:abstractNumId="16">
    <w:multiLevelType w:val="hybridMultilevel"/>
    <w:lvl w:ilvl="0">
      <w:start w:val="1"/>
      <w:numFmt w:val="decimal"/>
      <w:lvlText w:val="(%1)"/>
      <w:pPr>
        <w:ind w:left="1"/>
      </w:pPr>
      <w:rPr>
        <w:rFonts w:cs="Arial" w:hAnsi="Arial" w:eastAsia="Arial" w:ascii="Arial"/>
        <w:b w:val="0"/>
        <w:i w:val="0"/>
        <w:strike w:val="0"/>
        <w:dstrike w:val="0"/>
        <w:color w:val="000000"/>
        <w:sz w:val="16"/>
        <w:szCs w:val="16"/>
        <w:u w:val="none" w:color="000000"/>
        <w:bdr w:val="none"/>
        <w:shd w:val="clear"/>
        <w:vertAlign w:val="baseline"/>
      </w:rPr>
    </w:lvl>
    <w:lvl w:ilvl="1">
      <w:start w:val="1"/>
      <w:numFmt w:val="lowerLetter"/>
      <w:lvlText w:val="%2"/>
      <w:pPr>
        <w:ind w:left="1188"/>
      </w:pPr>
      <w:rPr>
        <w:rFonts w:cs="Arial" w:hAnsi="Arial" w:eastAsia="Arial" w:ascii="Arial"/>
        <w:b w:val="0"/>
        <w:i w:val="0"/>
        <w:strike w:val="0"/>
        <w:dstrike w:val="0"/>
        <w:color w:val="000000"/>
        <w:sz w:val="16"/>
        <w:szCs w:val="16"/>
        <w:u w:val="none" w:color="000000"/>
        <w:bdr w:val="none"/>
        <w:shd w:val="clear"/>
        <w:vertAlign w:val="baseline"/>
      </w:rPr>
    </w:lvl>
    <w:lvl w:ilvl="2">
      <w:start w:val="1"/>
      <w:numFmt w:val="lowerRoman"/>
      <w:lvlText w:val="%3"/>
      <w:pPr>
        <w:ind w:left="1908"/>
      </w:pPr>
      <w:rPr>
        <w:rFonts w:cs="Arial" w:hAnsi="Arial" w:eastAsia="Arial" w:ascii="Arial"/>
        <w:b w:val="0"/>
        <w:i w:val="0"/>
        <w:strike w:val="0"/>
        <w:dstrike w:val="0"/>
        <w:color w:val="000000"/>
        <w:sz w:val="16"/>
        <w:szCs w:val="16"/>
        <w:u w:val="none" w:color="000000"/>
        <w:bdr w:val="none"/>
        <w:shd w:val="clear"/>
        <w:vertAlign w:val="baseline"/>
      </w:rPr>
    </w:lvl>
    <w:lvl w:ilvl="3">
      <w:start w:val="1"/>
      <w:numFmt w:val="decimal"/>
      <w:lvlText w:val="%4"/>
      <w:pPr>
        <w:ind w:left="2628"/>
      </w:pPr>
      <w:rPr>
        <w:rFonts w:cs="Arial" w:hAnsi="Arial" w:eastAsia="Arial" w:ascii="Arial"/>
        <w:b w:val="0"/>
        <w:i w:val="0"/>
        <w:strike w:val="0"/>
        <w:dstrike w:val="0"/>
        <w:color w:val="000000"/>
        <w:sz w:val="16"/>
        <w:szCs w:val="16"/>
        <w:u w:val="none" w:color="000000"/>
        <w:bdr w:val="none"/>
        <w:shd w:val="clear"/>
        <w:vertAlign w:val="baseline"/>
      </w:rPr>
    </w:lvl>
    <w:lvl w:ilvl="4">
      <w:start w:val="1"/>
      <w:numFmt w:val="lowerLetter"/>
      <w:lvlText w:val="%5"/>
      <w:pPr>
        <w:ind w:left="3348"/>
      </w:pPr>
      <w:rPr>
        <w:rFonts w:cs="Arial" w:hAnsi="Arial" w:eastAsia="Arial" w:ascii="Arial"/>
        <w:b w:val="0"/>
        <w:i w:val="0"/>
        <w:strike w:val="0"/>
        <w:dstrike w:val="0"/>
        <w:color w:val="000000"/>
        <w:sz w:val="16"/>
        <w:szCs w:val="16"/>
        <w:u w:val="none" w:color="000000"/>
        <w:bdr w:val="none"/>
        <w:shd w:val="clear"/>
        <w:vertAlign w:val="baseline"/>
      </w:rPr>
    </w:lvl>
    <w:lvl w:ilvl="5">
      <w:start w:val="1"/>
      <w:numFmt w:val="lowerRoman"/>
      <w:lvlText w:val="%6"/>
      <w:pPr>
        <w:ind w:left="4068"/>
      </w:pPr>
      <w:rPr>
        <w:rFonts w:cs="Arial" w:hAnsi="Arial" w:eastAsia="Arial" w:ascii="Arial"/>
        <w:b w:val="0"/>
        <w:i w:val="0"/>
        <w:strike w:val="0"/>
        <w:dstrike w:val="0"/>
        <w:color w:val="000000"/>
        <w:sz w:val="16"/>
        <w:szCs w:val="16"/>
        <w:u w:val="none" w:color="000000"/>
        <w:bdr w:val="none"/>
        <w:shd w:val="clear"/>
        <w:vertAlign w:val="baseline"/>
      </w:rPr>
    </w:lvl>
    <w:lvl w:ilvl="6">
      <w:start w:val="1"/>
      <w:numFmt w:val="decimal"/>
      <w:lvlText w:val="%7"/>
      <w:pPr>
        <w:ind w:left="4788"/>
      </w:pPr>
      <w:rPr>
        <w:rFonts w:cs="Arial" w:hAnsi="Arial" w:eastAsia="Arial" w:ascii="Arial"/>
        <w:b w:val="0"/>
        <w:i w:val="0"/>
        <w:strike w:val="0"/>
        <w:dstrike w:val="0"/>
        <w:color w:val="000000"/>
        <w:sz w:val="16"/>
        <w:szCs w:val="16"/>
        <w:u w:val="none" w:color="000000"/>
        <w:bdr w:val="none"/>
        <w:shd w:val="clear"/>
        <w:vertAlign w:val="baseline"/>
      </w:rPr>
    </w:lvl>
    <w:lvl w:ilvl="7">
      <w:start w:val="1"/>
      <w:numFmt w:val="lowerLetter"/>
      <w:lvlText w:val="%8"/>
      <w:pPr>
        <w:ind w:left="5508"/>
      </w:pPr>
      <w:rPr>
        <w:rFonts w:cs="Arial" w:hAnsi="Arial" w:eastAsia="Arial" w:ascii="Arial"/>
        <w:b w:val="0"/>
        <w:i w:val="0"/>
        <w:strike w:val="0"/>
        <w:dstrike w:val="0"/>
        <w:color w:val="000000"/>
        <w:sz w:val="16"/>
        <w:szCs w:val="16"/>
        <w:u w:val="none" w:color="000000"/>
        <w:bdr w:val="none"/>
        <w:shd w:val="clear"/>
        <w:vertAlign w:val="baseline"/>
      </w:rPr>
    </w:lvl>
    <w:lvl w:ilvl="8">
      <w:start w:val="1"/>
      <w:numFmt w:val="lowerRoman"/>
      <w:lvlText w:val="%9"/>
      <w:pPr>
        <w:ind w:left="6228"/>
      </w:pPr>
      <w:rPr>
        <w:rFonts w:cs="Arial" w:hAnsi="Arial" w:eastAsia="Arial" w:ascii="Arial"/>
        <w:b w:val="0"/>
        <w:i w:val="0"/>
        <w:strike w:val="0"/>
        <w:dstrike w:val="0"/>
        <w:color w:val="000000"/>
        <w:sz w:val="16"/>
        <w:szCs w:val="16"/>
        <w:u w:val="none" w:color="000000"/>
        <w:bdr w:val="none"/>
        <w:shd w:val="clear"/>
        <w:vertAlign w:val="baseline"/>
      </w:rPr>
    </w:lvl>
  </w:abstractNum>
  <w:abstractNum w:abstractNumId="17">
    <w:multiLevelType w:val="hybridMultilevel"/>
    <w:lvl w:ilvl="0">
      <w:start w:val="1"/>
      <w:numFmt w:val="bullet"/>
      <w:lvlText w:val="•"/>
      <w:pPr>
        <w:ind w:left="253"/>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18">
    <w:multiLevelType w:val="hybridMultilevel"/>
    <w:lvl w:ilvl="0">
      <w:start w:val="1"/>
      <w:numFmt w:val="bullet"/>
      <w:lvlText w:val="•"/>
      <w:pPr>
        <w:ind w:left="253"/>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19">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0">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1">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2" w:line="249" w:lineRule="auto"/>
      <w:ind w:left="190" w:right="55" w:hanging="10"/>
      <w:jc w:val="both"/>
    </w:pPr>
    <w:rPr>
      <w:rFonts w:cs="Arial" w:hAnsi="Arial" w:eastAsia="Arial" w:ascii="Arial"/>
      <w:color w:val="000000"/>
      <w:sz w:val="20"/>
    </w:rPr>
  </w:style>
  <w:style w:type="paragraph" w:styleId="heading1">
    <w:name w:val="Heading 1"/>
    <w:next w:val="normal"/>
    <w:link w:val="heading1Char"/>
    <w:uiPriority w:val="9"/>
    <w:unhideWhenUsed/>
    <w:qFormat/>
    <w:pPr>
      <w:keepNext/>
      <w:keepLines/>
      <w:bidi w:val="0"/>
      <w:spacing w:before="0" w:after="117" w:line="259" w:lineRule="auto"/>
      <w:ind w:left="190" w:right="0" w:hanging="10"/>
      <w:jc w:val="left"/>
      <w:outlineLvl w:val="0"/>
    </w:pPr>
    <w:rPr>
      <w:rFonts w:cs="Century Gothic" w:hAnsi="Century Gothic" w:eastAsia="Century Gothic" w:ascii="Century Gothic"/>
      <w:b w:val="1"/>
      <w:color w:val="000000"/>
      <w:sz w:val="22"/>
    </w:rPr>
  </w:style>
  <w:style w:type="character" w:styleId="heading1Char">
    <w:name w:val="Heading 1 Char"/>
    <w:link w:val="heading1"/>
    <w:rPr>
      <w:rFonts w:cs="Century Gothic" w:hAnsi="Century Gothic" w:eastAsia="Century Gothic" w:ascii="Century Gothic"/>
      <w:b w:val="1"/>
      <w:color w:val="000000"/>
      <w:sz w:val="22"/>
    </w:rPr>
  </w:style>
  <w:style w:type="paragraph" w:styleId="footnote description">
    <w:name w:val="footnote description"/>
    <w:next w:val="normal"/>
    <w:link w:val="footnote descriptionChar"/>
    <w:hidden/>
    <w:pPr>
      <w:bidi w:val="0"/>
      <w:spacing w:before="0" w:after="0" w:line="259" w:lineRule="auto"/>
      <w:ind w:left="180" w:right="0" w:firstLine="67"/>
      <w:jc w:val="left"/>
    </w:pPr>
    <w:rPr>
      <w:rFonts w:cs="Arial" w:hAnsi="Arial" w:eastAsia="Arial" w:ascii="Arial"/>
      <w:color w:val="000000"/>
      <w:sz w:val="16"/>
      <w:vertAlign w:val="superscript"/>
    </w:rPr>
  </w:style>
  <w:style w:type="character" w:styleId="footnote descriptionChar">
    <w:name w:val="footnote description Char"/>
    <w:link w:val="footnote description"/>
    <w:rPr>
      <w:rFonts w:cs="Arial" w:hAnsi="Arial" w:eastAsia="Arial" w:ascii="Arial"/>
      <w:color w:val="000000"/>
      <w:sz w:val="16"/>
      <w:vertAlign w:val="superscript"/>
    </w:rPr>
  </w:style>
  <w:style w:type="paragraph" w:styleId="heading2">
    <w:name w:val="Heading 2"/>
    <w:next w:val="normal"/>
    <w:link w:val="heading2Char"/>
    <w:uiPriority w:val="9"/>
    <w:unhideWhenUsed/>
    <w:qFormat/>
    <w:pPr>
      <w:keepNext/>
      <w:keepLines/>
      <w:bidi w:val="0"/>
      <w:spacing w:before="0" w:after="3" w:line="253" w:lineRule="auto"/>
      <w:ind w:left="190" w:right="0" w:hanging="10"/>
      <w:jc w:val="left"/>
      <w:outlineLvl w:val="1"/>
    </w:pPr>
    <w:rPr>
      <w:rFonts w:cs="Arial" w:hAnsi="Arial" w:eastAsia="Arial" w:ascii="Arial"/>
      <w:b w:val="1"/>
      <w:color w:val="000000"/>
      <w:sz w:val="20"/>
    </w:rPr>
  </w:style>
  <w:style w:type="character" w:styleId="heading2Char">
    <w:name w:val="Heading 2 Char"/>
    <w:link w:val="heading2"/>
    <w:rPr>
      <w:rFonts w:cs="Arial" w:hAnsi="Arial" w:eastAsia="Arial" w:ascii="Arial"/>
      <w:b w:val="1"/>
      <w:color w:val="000000"/>
      <w:sz w:val="20"/>
    </w:rPr>
  </w:style>
  <w:style w:type="paragraph" w:styleId="heading3">
    <w:name w:val="Heading 3"/>
    <w:next w:val="normal"/>
    <w:link w:val="heading3Char"/>
    <w:uiPriority w:val="9"/>
    <w:unhideWhenUsed/>
    <w:qFormat/>
    <w:pPr>
      <w:keepNext/>
      <w:keepLines/>
      <w:bidi w:val="0"/>
      <w:spacing w:before="0" w:after="3" w:line="253" w:lineRule="auto"/>
      <w:ind w:left="190" w:right="0" w:hanging="10"/>
      <w:jc w:val="left"/>
      <w:outlineLvl w:val="2"/>
    </w:pPr>
    <w:rPr>
      <w:rFonts w:cs="Arial" w:hAnsi="Arial" w:eastAsia="Arial" w:ascii="Arial"/>
      <w:b w:val="1"/>
      <w:color w:val="000000"/>
      <w:sz w:val="20"/>
    </w:rPr>
  </w:style>
  <w:style w:type="character" w:styleId="heading3Char">
    <w:name w:val="Heading 3 Char"/>
    <w:link w:val="heading3"/>
    <w:rPr>
      <w:rFonts w:cs="Arial" w:hAnsi="Arial" w:eastAsia="Arial" w:ascii="Arial"/>
      <w:b w:val="1"/>
      <w:color w:val="000000"/>
      <w:sz w:val="20"/>
    </w:rPr>
  </w:style>
  <w:style w:type="character" w:styleId="footnote mark">
    <w:name w:val="footnote mark"/>
    <w:hidden/>
    <w:rPr>
      <w:rFonts w:cs="Arial" w:hAnsi="Arial" w:eastAsia="Arial" w:ascii="Arial"/>
      <w:color w:val="000000"/>
      <w:sz w:val="16"/>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8" Type="http://schemas.openxmlformats.org/officeDocument/2006/relationships/footer" Target="footer8.xml"/><Relationship Id="rId13" Type="http://schemas.openxmlformats.org/officeDocument/2006/relationships/footer" Target="footer13.xml"/><Relationship Id="rId18" Type="http://schemas.openxmlformats.org/officeDocument/2006/relationships/footer" Target="footer18.xml"/><Relationship Id="rId26" Type="http://schemas.openxmlformats.org/officeDocument/2006/relationships/customXml" Target="../customXml/item2.xml"/><Relationship Id="rId3" Type="http://schemas.openxmlformats.org/officeDocument/2006/relationships/footer" Target="footer3.xml"/><Relationship Id="rsFootnotesId" Type="http://schemas.openxmlformats.org/officeDocument/2006/relationships/footnotes" Target="footnotes.xml"/><Relationship Id="rsSettingsId" Type="http://schemas.openxmlformats.org/officeDocument/2006/relationships/settings" Target="settings.xml"/><Relationship Id="rId21" Type="http://schemas.openxmlformats.org/officeDocument/2006/relationships/image" Target="media/image70.png"/><Relationship Id="rId17" Type="http://schemas.openxmlformats.org/officeDocument/2006/relationships/footer" Target="footer17.xml"/><Relationship Id="rId12" Type="http://schemas.openxmlformats.org/officeDocument/2006/relationships/footer" Target="footer12.xml"/><Relationship Id="rId7" Type="http://schemas.openxmlformats.org/officeDocument/2006/relationships/footer" Target="footer7.xml"/><Relationship Id="rId25" Type="http://schemas.openxmlformats.org/officeDocument/2006/relationships/customXml" Target="../customXml/item1.xml"/><Relationship Id="rId2" Type="http://schemas.openxmlformats.org/officeDocument/2006/relationships/footer" Target="footer2.xml"/><Relationship Id="rId16" Type="http://schemas.openxmlformats.org/officeDocument/2006/relationships/footer" Target="footer16.xml"/><Relationship Id="rId29" Type="http://schemas.openxmlformats.org/officeDocument/2006/relationships/customXml" Target="../customXml/item5.xml"/><Relationship Id="rId24" Type="http://schemas.openxmlformats.org/officeDocument/2006/relationships/image" Target="media/image68.jpg"/><Relationship Id="rId6" Type="http://schemas.openxmlformats.org/officeDocument/2006/relationships/footer" Target="footer6.xml"/><Relationship Id="rId1" Type="http://schemas.openxmlformats.org/officeDocument/2006/relationships/footer" Target="footer1.xml"/><Relationship Id="rId11" Type="http://schemas.openxmlformats.org/officeDocument/2006/relationships/footer" Target="footer11.xml"/><Relationship Id="rId23" Type="http://schemas.openxmlformats.org/officeDocument/2006/relationships/image" Target="media/image72.png"/><Relationship Id="rId15" Type="http://schemas.openxmlformats.org/officeDocument/2006/relationships/footer" Target="footer15.xml"/><Relationship Id="rId5" Type="http://schemas.openxmlformats.org/officeDocument/2006/relationships/footer" Target="footer5.xml"/><Relationship Id="rId28" Type="http://schemas.openxmlformats.org/officeDocument/2006/relationships/customXml" Target="../customXml/item4.xml"/><Relationship Id="rId10" Type="http://schemas.openxmlformats.org/officeDocument/2006/relationships/footer" Target="footer10.xml"/><Relationship Id="rsNumberingId" Type="http://schemas.openxmlformats.org/officeDocument/2006/relationships/numbering" Target="numbering.xml"/><Relationship Id="rsStylesId" Type="http://schemas.openxmlformats.org/officeDocument/2006/relationships/styles" Target="styles.xml"/><Relationship Id="rId14" Type="http://schemas.openxmlformats.org/officeDocument/2006/relationships/footer" Target="footer14.xml"/><Relationship Id="rId22" Type="http://schemas.openxmlformats.org/officeDocument/2006/relationships/image" Target="media/image71.png"/><Relationship Id="rId4" Type="http://schemas.openxmlformats.org/officeDocument/2006/relationships/footer" Target="footer4.xml"/><Relationship Id="rId9" Type="http://schemas.openxmlformats.org/officeDocument/2006/relationships/footer" Target="footer9.xml"/><Relationship Id="rId27" Type="http://schemas.openxmlformats.org/officeDocument/2006/relationships/customXml" Target="../customXml/item3.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2015-05-01T09:00:00+00:00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1621</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SDN</TermName>
          <TermId xmlns="http://schemas.microsoft.com/office/infopath/2007/PartnerControls">834f4a24-82be-496b-b648-d4d5a12662ff</TermId>
        </TermInfo>
      </Terms>
    </gc6531b704974d528487414686b72f6f>
    <_dlc_DocId xmlns="f1161f5b-24a3-4c2d-bc81-44cb9325e8ee">ATLASPDC-4-29710</_dlc_DocId>
    <_dlc_DocIdUrl xmlns="f1161f5b-24a3-4c2d-bc81-44cb9325e8ee">
      <Url>https://info.undp.org/docs/pdc/_layouts/DocIdRedir.aspx?ID=ATLASPDC-4-29710</Url>
      <Description>ATLASPDC-4-29710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AE1C77-DFDE-4161-B9FB-6622E23D958E}"/>
</file>

<file path=customXml/itemProps2.xml><?xml version="1.0" encoding="utf-8"?>
<ds:datastoreItem xmlns:ds="http://schemas.openxmlformats.org/officeDocument/2006/customXml" ds:itemID="{4C38EDB5-33EE-432C-B6EF-A1D99D526ADE}"/>
</file>

<file path=customXml/itemProps3.xml><?xml version="1.0" encoding="utf-8"?>
<ds:datastoreItem xmlns:ds="http://schemas.openxmlformats.org/officeDocument/2006/customXml" ds:itemID="{291469FB-4442-41E5-B1BE-95152C278A34}"/>
</file>

<file path=customXml/itemProps4.xml><?xml version="1.0" encoding="utf-8"?>
<ds:datastoreItem xmlns:ds="http://schemas.openxmlformats.org/officeDocument/2006/customXml" ds:itemID="{10C33894-3BAD-4ECC-A491-21188D6AC737}"/>
</file>

<file path=customXml/itemProps5.xml><?xml version="1.0" encoding="utf-8"?>
<ds:datastoreItem xmlns:ds="http://schemas.openxmlformats.org/officeDocument/2006/customXml" ds:itemID="{11B6E484-50B7-4FDA-91C7-E09E2983E19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- 20090827 Darfur Preparatory Support Project for DDR</dc:title>
  <dc:subject/>
  <dc:creator>Hanna</dc:creator>
  <cp:keywords/>
  <dcterms:created xsi:type="dcterms:W3CDTF">2015-05-01T09:24:49Z</dcterms:created>
  <dcterms:modified xsi:type="dcterms:W3CDTF">2015-05-01T09:24:49Z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1621;#SDN|834f4a24-82be-496b-b648-d4d5a12662ff</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9781c682-4360-49b8-a096-7d01e12c4aa7</vt:lpwstr>
  </property>
  <property fmtid="{D5CDD505-2E9C-101B-9397-08002B2CF9AE}" pid="18" name="URL">
    <vt:lpwstr/>
  </property>
  <property fmtid="{D5CDD505-2E9C-101B-9397-08002B2CF9AE}" pid="19" name="DocumentSetDescription">
    <vt:lpwstr/>
  </property>
</Properties>
</file>